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6C8BB" w14:textId="625FB9E6" w:rsidR="00D042AF" w:rsidRPr="00D042AF" w:rsidRDefault="00D042AF" w:rsidP="00D042AF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042A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Doktryna </w:t>
      </w:r>
      <w:proofErr w:type="spellStart"/>
      <w:r w:rsidRPr="00D042AF">
        <w:rPr>
          <w:rFonts w:ascii="Times New Roman" w:hAnsi="Times New Roman" w:cs="Times New Roman"/>
          <w:b/>
          <w:bCs/>
          <w:color w:val="C00000"/>
          <w:sz w:val="24"/>
          <w:szCs w:val="24"/>
        </w:rPr>
        <w:t>Monroego</w:t>
      </w:r>
      <w:proofErr w:type="spellEnd"/>
      <w:r w:rsidRPr="00D042A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1823 r. </w:t>
      </w:r>
    </w:p>
    <w:p w14:paraId="2DC7BE51" w14:textId="77777777" w:rsidR="00D042AF" w:rsidRPr="00D042AF" w:rsidRDefault="00D042AF" w:rsidP="00D042A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42AF">
        <w:rPr>
          <w:rFonts w:ascii="Times New Roman" w:hAnsi="Times New Roman" w:cs="Times New Roman"/>
          <w:i/>
          <w:sz w:val="24"/>
          <w:szCs w:val="24"/>
        </w:rPr>
        <w:t xml:space="preserve">Ze względu na nasze sumienie oraz na przyjacielskie stosunki istniejące między mocarstwami a Stanami Zjednoczonymi oświadczamy, że będziemy uważać wszelkie próby rozszerzenia ich systemu na drugą część tej półkuli za niebezpieczne dla naszego spokoju i naszego bezpieczeństwa. […] Polityka, jaką prowadzimy w stosunku do Europy, od początku wojen, które tak długo zaprzątały tę część globu, pozostała ta sama: polegała ona na niewtrącaniu się w sprawy wewnętrzne jakiegokolwiek państwa […]. […] Jednakże w sprawach dotyczących tych kontynentów [amerykańskich] zmieniają się okoliczności. Jest niemożliwe, aby mocarstwa sprzymierzone chciały narzucić swój system polityczny jakiejś części tych kontynentów bez zagrożenia naszemu szczęściu i naszemu pokojowi […]. </w:t>
      </w:r>
    </w:p>
    <w:p w14:paraId="62DD00A4" w14:textId="291C69FD" w:rsidR="00D042AF" w:rsidRDefault="00D042AF" w:rsidP="00D042AF">
      <w:pPr>
        <w:jc w:val="right"/>
        <w:rPr>
          <w:rFonts w:ascii="Times New Roman" w:hAnsi="Times New Roman" w:cs="Times New Roman"/>
        </w:rPr>
      </w:pPr>
      <w:r w:rsidRPr="00D042AF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2B1F51">
        <w:rPr>
          <w:rFonts w:ascii="Times New Roman" w:hAnsi="Times New Roman" w:cs="Times New Roman"/>
        </w:rPr>
        <w:t>, oprac. M. Sobańska-</w:t>
      </w:r>
      <w:proofErr w:type="spellStart"/>
      <w:r w:rsidRPr="002B1F51">
        <w:rPr>
          <w:rFonts w:ascii="Times New Roman" w:hAnsi="Times New Roman" w:cs="Times New Roman"/>
        </w:rPr>
        <w:t>Bondaruk</w:t>
      </w:r>
      <w:proofErr w:type="spellEnd"/>
      <w:r w:rsidRPr="002B1F51">
        <w:rPr>
          <w:rFonts w:ascii="Times New Roman" w:hAnsi="Times New Roman" w:cs="Times New Roman"/>
        </w:rPr>
        <w:t xml:space="preserve">, S.B. </w:t>
      </w:r>
      <w:proofErr w:type="spellStart"/>
      <w:r w:rsidRPr="002B1F51">
        <w:rPr>
          <w:rFonts w:ascii="Times New Roman" w:hAnsi="Times New Roman" w:cs="Times New Roman"/>
        </w:rPr>
        <w:t>Lenard</w:t>
      </w:r>
      <w:proofErr w:type="spellEnd"/>
      <w:r w:rsidRPr="002B1F5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2B1F51">
        <w:rPr>
          <w:rFonts w:ascii="Times New Roman" w:hAnsi="Times New Roman" w:cs="Times New Roman"/>
        </w:rPr>
        <w:t>Warszawa: WN PWN, 1998, s. 93–94</w:t>
      </w:r>
      <w:r>
        <w:rPr>
          <w:rFonts w:ascii="Times New Roman" w:hAnsi="Times New Roman" w:cs="Times New Roman"/>
        </w:rPr>
        <w:t>.</w:t>
      </w:r>
    </w:p>
    <w:p w14:paraId="421AC888" w14:textId="77777777" w:rsidR="00D042AF" w:rsidRDefault="00D042AF" w:rsidP="00D042AF">
      <w:pPr>
        <w:jc w:val="right"/>
        <w:rPr>
          <w:rFonts w:ascii="Times New Roman" w:hAnsi="Times New Roman" w:cs="Times New Roman"/>
        </w:rPr>
      </w:pPr>
    </w:p>
    <w:p w14:paraId="7745B246" w14:textId="0C6209D5" w:rsidR="001A041E" w:rsidRPr="004A5C39" w:rsidRDefault="001A041E" w:rsidP="00AF4B9F">
      <w:pPr>
        <w:spacing w:after="100" w:line="23" w:lineRule="atLeas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A5C39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637A16" w:rsidRPr="004A5C3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6CEEC9AC" w14:textId="0DEA7A1E" w:rsidR="00D042AF" w:rsidRPr="004A5C39" w:rsidRDefault="00642238" w:rsidP="00D042AF">
      <w:pPr>
        <w:rPr>
          <w:rFonts w:ascii="Times New Roman" w:hAnsi="Times New Roman" w:cs="Times New Roman"/>
          <w:sz w:val="24"/>
          <w:szCs w:val="24"/>
        </w:rPr>
      </w:pPr>
      <w:r w:rsidRPr="004A5C39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9F5830" w:rsidRPr="004A5C39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9F5830" w:rsidRPr="004A5C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042AF" w:rsidRPr="004A5C39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D042AF" w:rsidRPr="004A5C3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D042AF" w:rsidRPr="004A5C39">
        <w:rPr>
          <w:rFonts w:ascii="Times New Roman" w:hAnsi="Times New Roman" w:cs="Times New Roman"/>
          <w:sz w:val="24"/>
          <w:szCs w:val="24"/>
        </w:rPr>
        <w:t>, zbierz informacje o Jamesie Monroe.</w:t>
      </w:r>
    </w:p>
    <w:p w14:paraId="1FBBC758" w14:textId="77777777" w:rsidR="00D042AF" w:rsidRPr="004A5C39" w:rsidRDefault="00D042AF" w:rsidP="00D042AF">
      <w:pPr>
        <w:rPr>
          <w:rFonts w:ascii="Times New Roman" w:hAnsi="Times New Roman" w:cs="Times New Roman"/>
          <w:sz w:val="24"/>
          <w:szCs w:val="24"/>
        </w:rPr>
      </w:pPr>
      <w:r w:rsidRPr="004A5C39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4A5C3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A5C39">
        <w:rPr>
          <w:rFonts w:ascii="Times New Roman" w:hAnsi="Times New Roman" w:cs="Times New Roman"/>
          <w:sz w:val="24"/>
          <w:szCs w:val="24"/>
        </w:rPr>
        <w:t xml:space="preserve">Przedstaw główne założenia doktryny </w:t>
      </w:r>
      <w:proofErr w:type="spellStart"/>
      <w:r w:rsidRPr="004A5C39">
        <w:rPr>
          <w:rFonts w:ascii="Times New Roman" w:hAnsi="Times New Roman" w:cs="Times New Roman"/>
          <w:sz w:val="24"/>
          <w:szCs w:val="24"/>
        </w:rPr>
        <w:t>Monroego</w:t>
      </w:r>
      <w:proofErr w:type="spellEnd"/>
      <w:r w:rsidRPr="004A5C39">
        <w:rPr>
          <w:rFonts w:ascii="Times New Roman" w:hAnsi="Times New Roman" w:cs="Times New Roman"/>
          <w:sz w:val="24"/>
          <w:szCs w:val="24"/>
        </w:rPr>
        <w:t>.</w:t>
      </w:r>
    </w:p>
    <w:p w14:paraId="01DB3830" w14:textId="44E2249E" w:rsidR="00D042AF" w:rsidRPr="004A5C39" w:rsidRDefault="00D042AF" w:rsidP="00D042AF">
      <w:pPr>
        <w:rPr>
          <w:rFonts w:ascii="Times New Roman" w:hAnsi="Times New Roman" w:cs="Times New Roman"/>
          <w:sz w:val="24"/>
          <w:szCs w:val="24"/>
        </w:rPr>
      </w:pPr>
      <w:r w:rsidRPr="004A5C39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4A5C39">
        <w:rPr>
          <w:rFonts w:ascii="Times New Roman" w:hAnsi="Times New Roman" w:cs="Times New Roman"/>
          <w:sz w:val="24"/>
          <w:szCs w:val="24"/>
        </w:rPr>
        <w:t xml:space="preserve"> Na podstawie wiedzy </w:t>
      </w:r>
      <w:proofErr w:type="spellStart"/>
      <w:r w:rsidRPr="004A5C39">
        <w:rPr>
          <w:rFonts w:ascii="Times New Roman" w:hAnsi="Times New Roman" w:cs="Times New Roman"/>
          <w:sz w:val="24"/>
          <w:szCs w:val="24"/>
        </w:rPr>
        <w:t>poza</w:t>
      </w:r>
      <w:bookmarkStart w:id="0" w:name="_GoBack"/>
      <w:bookmarkEnd w:id="0"/>
      <w:r w:rsidRPr="004A5C39">
        <w:rPr>
          <w:rFonts w:ascii="Times New Roman" w:hAnsi="Times New Roman" w:cs="Times New Roman"/>
          <w:sz w:val="24"/>
          <w:szCs w:val="24"/>
        </w:rPr>
        <w:t>źródłow</w:t>
      </w:r>
      <w:r w:rsidR="004A5C39">
        <w:rPr>
          <w:rFonts w:ascii="Times New Roman" w:hAnsi="Times New Roman" w:cs="Times New Roman"/>
          <w:sz w:val="24"/>
          <w:szCs w:val="24"/>
        </w:rPr>
        <w:t>e</w:t>
      </w:r>
      <w:r w:rsidRPr="004A5C39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4A5C39">
        <w:rPr>
          <w:rFonts w:ascii="Times New Roman" w:hAnsi="Times New Roman" w:cs="Times New Roman"/>
          <w:sz w:val="24"/>
          <w:szCs w:val="24"/>
        </w:rPr>
        <w:t xml:space="preserve"> określ, jakie wojny miał na myśli prezydent Monroe. </w:t>
      </w:r>
    </w:p>
    <w:p w14:paraId="52074C46" w14:textId="59857D9F" w:rsidR="00D042AF" w:rsidRPr="004A5C39" w:rsidRDefault="00D042AF" w:rsidP="00D042AF">
      <w:pPr>
        <w:rPr>
          <w:rFonts w:ascii="Times New Roman" w:hAnsi="Times New Roman" w:cs="Times New Roman"/>
          <w:sz w:val="24"/>
          <w:szCs w:val="24"/>
        </w:rPr>
      </w:pPr>
      <w:r w:rsidRPr="004A5C39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4A5C39">
        <w:rPr>
          <w:rFonts w:ascii="Times New Roman" w:hAnsi="Times New Roman" w:cs="Times New Roman"/>
          <w:sz w:val="24"/>
          <w:szCs w:val="24"/>
        </w:rPr>
        <w:t xml:space="preserve"> Korzystając z tekstu i wiedzy </w:t>
      </w:r>
      <w:proofErr w:type="spellStart"/>
      <w:r w:rsidRPr="004A5C3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4A5C39">
        <w:rPr>
          <w:rFonts w:ascii="Times New Roman" w:hAnsi="Times New Roman" w:cs="Times New Roman"/>
          <w:sz w:val="24"/>
          <w:szCs w:val="24"/>
        </w:rPr>
        <w:t xml:space="preserve">, wyjaśnij „zmieniające się okoliczności”, które spowodowały wydanie przez prezydenta Monroe powyższej doktryny. </w:t>
      </w:r>
    </w:p>
    <w:p w14:paraId="7D05F42B" w14:textId="7CB514E0" w:rsidR="00D042AF" w:rsidRPr="00D042AF" w:rsidRDefault="00D042AF" w:rsidP="00D042AF">
      <w:pPr>
        <w:rPr>
          <w:rFonts w:ascii="Times New Roman" w:hAnsi="Times New Roman" w:cs="Times New Roman"/>
          <w:sz w:val="24"/>
          <w:szCs w:val="24"/>
        </w:rPr>
      </w:pPr>
      <w:r w:rsidRPr="004A5C39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Pr="004A5C39">
        <w:rPr>
          <w:rFonts w:ascii="Times New Roman" w:hAnsi="Times New Roman" w:cs="Times New Roman"/>
          <w:sz w:val="24"/>
          <w:szCs w:val="24"/>
        </w:rPr>
        <w:t xml:space="preserve"> Na podstawie wiedzy </w:t>
      </w:r>
      <w:proofErr w:type="spellStart"/>
      <w:r w:rsidRPr="004A5C3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4A5C39">
        <w:rPr>
          <w:rFonts w:ascii="Times New Roman" w:hAnsi="Times New Roman" w:cs="Times New Roman"/>
          <w:sz w:val="24"/>
          <w:szCs w:val="24"/>
        </w:rPr>
        <w:t xml:space="preserve"> odpowiedz, czy USA będą konsekwentne w przestrzeganiu wymienionych w doktrynie zasad.</w:t>
      </w:r>
    </w:p>
    <w:p w14:paraId="301E9ED7" w14:textId="748D547A" w:rsidR="00080897" w:rsidRPr="00AF4B9F" w:rsidRDefault="00080897" w:rsidP="00D042AF">
      <w:pPr>
        <w:spacing w:after="60"/>
        <w:rPr>
          <w:rFonts w:ascii="Times New Roman" w:hAnsi="Times New Roman" w:cs="Times New Roman"/>
        </w:rPr>
      </w:pPr>
    </w:p>
    <w:sectPr w:rsidR="00080897" w:rsidRPr="00AF4B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A236E"/>
    <w:rsid w:val="000B4661"/>
    <w:rsid w:val="000D6443"/>
    <w:rsid w:val="00147D24"/>
    <w:rsid w:val="00150084"/>
    <w:rsid w:val="001A041E"/>
    <w:rsid w:val="001C3D14"/>
    <w:rsid w:val="002D0E38"/>
    <w:rsid w:val="00342075"/>
    <w:rsid w:val="003B2C5E"/>
    <w:rsid w:val="003C3A21"/>
    <w:rsid w:val="00402101"/>
    <w:rsid w:val="00435113"/>
    <w:rsid w:val="00463593"/>
    <w:rsid w:val="004A5C39"/>
    <w:rsid w:val="005617D2"/>
    <w:rsid w:val="00576E6B"/>
    <w:rsid w:val="005B6F22"/>
    <w:rsid w:val="005D18F5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65B92"/>
    <w:rsid w:val="0089203E"/>
    <w:rsid w:val="00973755"/>
    <w:rsid w:val="009B6914"/>
    <w:rsid w:val="009F5830"/>
    <w:rsid w:val="00A21D6F"/>
    <w:rsid w:val="00A22FE4"/>
    <w:rsid w:val="00A233D4"/>
    <w:rsid w:val="00A54727"/>
    <w:rsid w:val="00A91F31"/>
    <w:rsid w:val="00AA33F7"/>
    <w:rsid w:val="00AC596F"/>
    <w:rsid w:val="00AF4B9F"/>
    <w:rsid w:val="00B45C96"/>
    <w:rsid w:val="00B70BC6"/>
    <w:rsid w:val="00CD1B42"/>
    <w:rsid w:val="00D042AF"/>
    <w:rsid w:val="00D57C90"/>
    <w:rsid w:val="00DA02B4"/>
    <w:rsid w:val="00DC1BF2"/>
    <w:rsid w:val="00DD71E8"/>
    <w:rsid w:val="00E96BDB"/>
    <w:rsid w:val="00EF6D08"/>
    <w:rsid w:val="00F07899"/>
    <w:rsid w:val="00F51F09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40</cp:revision>
  <dcterms:created xsi:type="dcterms:W3CDTF">2022-01-26T11:38:00Z</dcterms:created>
  <dcterms:modified xsi:type="dcterms:W3CDTF">2022-09-13T13:29:00Z</dcterms:modified>
</cp:coreProperties>
</file>