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1A5121" w14:textId="25EB2A5C" w:rsidR="00A209CD" w:rsidRPr="009D4E16" w:rsidRDefault="009D4E16" w:rsidP="004858CC">
      <w:pPr>
        <w:spacing w:after="240" w:line="360" w:lineRule="auto"/>
        <w:jc w:val="both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bookmarkStart w:id="0" w:name="_GoBack"/>
      <w:bookmarkEnd w:id="0"/>
      <w:r w:rsidRPr="009D4E16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Unia polsko-litewska w opinii </w:t>
      </w:r>
      <w:r w:rsidR="00960F11" w:rsidRPr="009D4E16">
        <w:rPr>
          <w:rFonts w:ascii="Times New Roman" w:hAnsi="Times New Roman" w:cs="Times New Roman"/>
          <w:b/>
          <w:bCs/>
          <w:color w:val="C00000"/>
          <w:sz w:val="24"/>
          <w:szCs w:val="24"/>
        </w:rPr>
        <w:t>Polaków</w:t>
      </w:r>
      <w:r w:rsidRPr="009D4E16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 i Litwinow kilkaset lat </w:t>
      </w:r>
      <w:r w:rsidR="00960F11" w:rsidRPr="009D4E16">
        <w:rPr>
          <w:rFonts w:ascii="Times New Roman" w:hAnsi="Times New Roman" w:cs="Times New Roman"/>
          <w:b/>
          <w:bCs/>
          <w:color w:val="C00000"/>
          <w:sz w:val="24"/>
          <w:szCs w:val="24"/>
        </w:rPr>
        <w:t>później</w:t>
      </w:r>
      <w:r w:rsidRPr="009D4E16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 – analiza Dangirasa Mačiulisa</w:t>
      </w:r>
      <w:r w:rsidR="00A715D9" w:rsidRPr="00A715D9">
        <w:rPr>
          <w:rFonts w:ascii="Times New Roman" w:hAnsi="Times New Roman" w:cs="Times New Roman"/>
          <w:bCs/>
          <w:color w:val="C00000"/>
          <w:sz w:val="24"/>
          <w:szCs w:val="24"/>
          <w:vertAlign w:val="superscript"/>
        </w:rPr>
        <w:t>1</w:t>
      </w:r>
    </w:p>
    <w:p w14:paraId="0F7EE243" w14:textId="5E6CE727" w:rsidR="00A715D9" w:rsidRPr="00A715D9" w:rsidRDefault="00A715D9" w:rsidP="00A715D9">
      <w:pPr>
        <w:spacing w:before="240"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715D9">
        <w:rPr>
          <w:rFonts w:ascii="Times New Roman" w:hAnsi="Times New Roman" w:cs="Times New Roman"/>
          <w:i/>
          <w:iCs/>
          <w:sz w:val="24"/>
          <w:szCs w:val="24"/>
        </w:rPr>
        <w:t>W XIX w. dążenie do niepodległości politycznej zrodziło w Polsce potrzebę takiej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715D9">
        <w:rPr>
          <w:rFonts w:ascii="Times New Roman" w:hAnsi="Times New Roman" w:cs="Times New Roman"/>
          <w:i/>
          <w:iCs/>
          <w:sz w:val="24"/>
          <w:szCs w:val="24"/>
        </w:rPr>
        <w:t xml:space="preserve">wizji </w:t>
      </w:r>
      <w:r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A715D9">
        <w:rPr>
          <w:rFonts w:ascii="Times New Roman" w:hAnsi="Times New Roman" w:cs="Times New Roman"/>
          <w:i/>
          <w:iCs/>
          <w:sz w:val="24"/>
          <w:szCs w:val="24"/>
        </w:rPr>
        <w:t>historii narodu, która by się przyczyniła do mobilizacji społeczeństwa, aby cel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715D9">
        <w:rPr>
          <w:rFonts w:ascii="Times New Roman" w:hAnsi="Times New Roman" w:cs="Times New Roman"/>
          <w:i/>
          <w:iCs/>
          <w:sz w:val="24"/>
          <w:szCs w:val="24"/>
        </w:rPr>
        <w:t xml:space="preserve">ten </w:t>
      </w:r>
      <w:r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A715D9">
        <w:rPr>
          <w:rFonts w:ascii="Times New Roman" w:hAnsi="Times New Roman" w:cs="Times New Roman"/>
          <w:i/>
          <w:iCs/>
          <w:sz w:val="24"/>
          <w:szCs w:val="24"/>
        </w:rPr>
        <w:t>zrealizować. Zrodzona z unii między Królestwem Polskim a Wielkim Księstwem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858CC"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A715D9">
        <w:rPr>
          <w:rFonts w:ascii="Times New Roman" w:hAnsi="Times New Roman" w:cs="Times New Roman"/>
          <w:i/>
          <w:iCs/>
          <w:sz w:val="24"/>
          <w:szCs w:val="24"/>
        </w:rPr>
        <w:t>Litewskim (dalej WKL) wizja […] niegdyś potężnego państwa Europy, zachęcała do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715D9">
        <w:rPr>
          <w:rFonts w:ascii="Times New Roman" w:hAnsi="Times New Roman" w:cs="Times New Roman"/>
          <w:i/>
          <w:iCs/>
          <w:sz w:val="24"/>
          <w:szCs w:val="24"/>
        </w:rPr>
        <w:t>przywrócenia państwowości Polski w historycznych granicach. W drugiej połowie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715D9">
        <w:rPr>
          <w:rFonts w:ascii="Times New Roman" w:hAnsi="Times New Roman" w:cs="Times New Roman"/>
          <w:i/>
          <w:iCs/>
          <w:sz w:val="24"/>
          <w:szCs w:val="24"/>
        </w:rPr>
        <w:t xml:space="preserve">XIX – </w:t>
      </w:r>
      <w:r w:rsidR="004858CC"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A715D9">
        <w:rPr>
          <w:rFonts w:ascii="Times New Roman" w:hAnsi="Times New Roman" w:cs="Times New Roman"/>
          <w:i/>
          <w:iCs/>
          <w:sz w:val="24"/>
          <w:szCs w:val="24"/>
        </w:rPr>
        <w:t>na początku XX w. w polskim krajobrazie pojawiły się znaki przywracające pamięć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858CC"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A715D9">
        <w:rPr>
          <w:rFonts w:ascii="Times New Roman" w:hAnsi="Times New Roman" w:cs="Times New Roman"/>
          <w:i/>
          <w:iCs/>
          <w:sz w:val="24"/>
          <w:szCs w:val="24"/>
        </w:rPr>
        <w:t>o uniach: […] w 1886 r. w Krakowie podczas obchodów jubileuszu 500. rocznicy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858CC"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A715D9">
        <w:rPr>
          <w:rFonts w:ascii="Times New Roman" w:hAnsi="Times New Roman" w:cs="Times New Roman"/>
          <w:i/>
          <w:iCs/>
          <w:sz w:val="24"/>
          <w:szCs w:val="24"/>
        </w:rPr>
        <w:t xml:space="preserve">unii w Krewie ustawiono pomnik Jadwigi i Jagiełły […]. Poza wymienionymi </w:t>
      </w:r>
      <w:r w:rsidR="004858CC"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A715D9">
        <w:rPr>
          <w:rFonts w:ascii="Times New Roman" w:hAnsi="Times New Roman" w:cs="Times New Roman"/>
          <w:i/>
          <w:iCs/>
          <w:sz w:val="24"/>
          <w:szCs w:val="24"/>
        </w:rPr>
        <w:t>materialnymi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715D9">
        <w:rPr>
          <w:rFonts w:ascii="Times New Roman" w:hAnsi="Times New Roman" w:cs="Times New Roman"/>
          <w:i/>
          <w:iCs/>
          <w:sz w:val="24"/>
          <w:szCs w:val="24"/>
        </w:rPr>
        <w:t xml:space="preserve">znakami liczne obrazy unii pojawiły się również w historiografii </w:t>
      </w:r>
      <w:r w:rsidR="004858CC"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A715D9">
        <w:rPr>
          <w:rFonts w:ascii="Times New Roman" w:hAnsi="Times New Roman" w:cs="Times New Roman"/>
          <w:i/>
          <w:iCs/>
          <w:sz w:val="24"/>
          <w:szCs w:val="24"/>
        </w:rPr>
        <w:t>i literaturze.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715D9">
        <w:rPr>
          <w:rFonts w:ascii="Times New Roman" w:hAnsi="Times New Roman" w:cs="Times New Roman"/>
          <w:i/>
          <w:iCs/>
          <w:sz w:val="24"/>
          <w:szCs w:val="24"/>
        </w:rPr>
        <w:t>Dla</w:t>
      </w:r>
      <w:r w:rsidR="004858C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715D9">
        <w:rPr>
          <w:rFonts w:ascii="Times New Roman" w:hAnsi="Times New Roman" w:cs="Times New Roman"/>
          <w:i/>
          <w:iCs/>
          <w:sz w:val="24"/>
          <w:szCs w:val="24"/>
        </w:rPr>
        <w:t xml:space="preserve">społeczeństwa polskiego unie były […] </w:t>
      </w:r>
      <w:r w:rsidRPr="00792C70">
        <w:rPr>
          <w:rFonts w:ascii="Times New Roman" w:hAnsi="Times New Roman" w:cs="Times New Roman"/>
          <w:iCs/>
          <w:sz w:val="24"/>
          <w:szCs w:val="24"/>
        </w:rPr>
        <w:t>miejscami pamięci</w:t>
      </w:r>
      <w:r w:rsidRPr="00792C70">
        <w:rPr>
          <w:rFonts w:ascii="Times New Roman" w:hAnsi="Times New Roman" w:cs="Times New Roman"/>
          <w:iCs/>
          <w:sz w:val="24"/>
          <w:szCs w:val="24"/>
          <w:vertAlign w:val="superscript"/>
        </w:rPr>
        <w:t>2</w:t>
      </w:r>
      <w:r w:rsidRPr="00A715D9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4858CC"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A715D9">
        <w:rPr>
          <w:rFonts w:ascii="Times New Roman" w:hAnsi="Times New Roman" w:cs="Times New Roman"/>
          <w:i/>
          <w:iCs/>
          <w:sz w:val="24"/>
          <w:szCs w:val="24"/>
        </w:rPr>
        <w:t>które świadczyły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715D9">
        <w:rPr>
          <w:rFonts w:ascii="Times New Roman" w:hAnsi="Times New Roman" w:cs="Times New Roman"/>
          <w:i/>
          <w:iCs/>
          <w:sz w:val="24"/>
          <w:szCs w:val="24"/>
        </w:rPr>
        <w:t xml:space="preserve">o tradycji państwowości. […] jak wyglądał obraz unii w pamięci </w:t>
      </w:r>
      <w:r w:rsidR="004858CC"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A715D9">
        <w:rPr>
          <w:rFonts w:ascii="Times New Roman" w:hAnsi="Times New Roman" w:cs="Times New Roman"/>
          <w:i/>
          <w:iCs/>
          <w:sz w:val="24"/>
          <w:szCs w:val="24"/>
        </w:rPr>
        <w:t>zbiorowej litewskiego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715D9">
        <w:rPr>
          <w:rFonts w:ascii="Times New Roman" w:hAnsi="Times New Roman" w:cs="Times New Roman"/>
          <w:i/>
          <w:iCs/>
          <w:sz w:val="24"/>
          <w:szCs w:val="24"/>
        </w:rPr>
        <w:t xml:space="preserve">społeczeństwa – czy stał się dla niego </w:t>
      </w:r>
      <w:r w:rsidRPr="00442BE7">
        <w:rPr>
          <w:rFonts w:ascii="Times New Roman" w:hAnsi="Times New Roman" w:cs="Times New Roman"/>
          <w:iCs/>
          <w:sz w:val="24"/>
          <w:szCs w:val="24"/>
        </w:rPr>
        <w:t>miejscem pamięci</w:t>
      </w:r>
      <w:r w:rsidRPr="00A715D9">
        <w:rPr>
          <w:rFonts w:ascii="Times New Roman" w:hAnsi="Times New Roman" w:cs="Times New Roman"/>
          <w:i/>
          <w:iCs/>
          <w:sz w:val="24"/>
          <w:szCs w:val="24"/>
        </w:rPr>
        <w:t>? […]</w:t>
      </w:r>
    </w:p>
    <w:p w14:paraId="0BF37EC3" w14:textId="6BDD6957" w:rsidR="00A715D9" w:rsidRPr="00A715D9" w:rsidRDefault="00A715D9" w:rsidP="00A715D9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715D9">
        <w:rPr>
          <w:rFonts w:ascii="Times New Roman" w:hAnsi="Times New Roman" w:cs="Times New Roman"/>
          <w:i/>
          <w:iCs/>
          <w:sz w:val="24"/>
          <w:szCs w:val="24"/>
        </w:rPr>
        <w:t>Litewski ruch narodowy konstruował narrację historyczną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715D9">
        <w:rPr>
          <w:rFonts w:ascii="Times New Roman" w:hAnsi="Times New Roman" w:cs="Times New Roman"/>
          <w:i/>
          <w:iCs/>
          <w:sz w:val="24"/>
          <w:szCs w:val="24"/>
        </w:rPr>
        <w:t xml:space="preserve">w taki sposób, by </w:t>
      </w:r>
      <w:r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A715D9">
        <w:rPr>
          <w:rFonts w:ascii="Times New Roman" w:hAnsi="Times New Roman" w:cs="Times New Roman"/>
          <w:i/>
          <w:iCs/>
          <w:sz w:val="24"/>
          <w:szCs w:val="24"/>
        </w:rPr>
        <w:t>stała się narzędziem konsolidacji wspólnoty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715D9">
        <w:rPr>
          <w:rFonts w:ascii="Times New Roman" w:hAnsi="Times New Roman" w:cs="Times New Roman"/>
          <w:i/>
          <w:iCs/>
          <w:sz w:val="24"/>
          <w:szCs w:val="24"/>
        </w:rPr>
        <w:t xml:space="preserve">etnicznej oraz by podkreśliła jej </w:t>
      </w:r>
      <w:r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A715D9">
        <w:rPr>
          <w:rFonts w:ascii="Times New Roman" w:hAnsi="Times New Roman" w:cs="Times New Roman"/>
          <w:i/>
          <w:iCs/>
          <w:sz w:val="24"/>
          <w:szCs w:val="24"/>
        </w:rPr>
        <w:t>prawo do samodzielności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715D9">
        <w:rPr>
          <w:rFonts w:ascii="Times New Roman" w:hAnsi="Times New Roman" w:cs="Times New Roman"/>
          <w:i/>
          <w:iCs/>
          <w:sz w:val="24"/>
          <w:szCs w:val="24"/>
        </w:rPr>
        <w:t xml:space="preserve">kulturowej i politycznej. W zrodzonych przez litewski </w:t>
      </w:r>
      <w:r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A715D9">
        <w:rPr>
          <w:rFonts w:ascii="Times New Roman" w:hAnsi="Times New Roman" w:cs="Times New Roman"/>
          <w:i/>
          <w:iCs/>
          <w:sz w:val="24"/>
          <w:szCs w:val="24"/>
        </w:rPr>
        <w:t>ruch narodowy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715D9">
        <w:rPr>
          <w:rFonts w:ascii="Times New Roman" w:hAnsi="Times New Roman" w:cs="Times New Roman"/>
          <w:i/>
          <w:iCs/>
          <w:sz w:val="24"/>
          <w:szCs w:val="24"/>
        </w:rPr>
        <w:t>narracjach unie między WKL a Królestwem Polskim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715D9">
        <w:rPr>
          <w:rFonts w:ascii="Times New Roman" w:hAnsi="Times New Roman" w:cs="Times New Roman"/>
          <w:i/>
          <w:iCs/>
          <w:sz w:val="24"/>
          <w:szCs w:val="24"/>
        </w:rPr>
        <w:t xml:space="preserve">oceniono </w:t>
      </w:r>
      <w:r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A715D9">
        <w:rPr>
          <w:rFonts w:ascii="Times New Roman" w:hAnsi="Times New Roman" w:cs="Times New Roman"/>
          <w:i/>
          <w:iCs/>
          <w:sz w:val="24"/>
          <w:szCs w:val="24"/>
        </w:rPr>
        <w:t>jako konieczne wówczas warunki historyczne, jednak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715D9">
        <w:rPr>
          <w:rFonts w:ascii="Times New Roman" w:hAnsi="Times New Roman" w:cs="Times New Roman"/>
          <w:i/>
          <w:iCs/>
          <w:sz w:val="24"/>
          <w:szCs w:val="24"/>
        </w:rPr>
        <w:t xml:space="preserve">zarazem podkreślono </w:t>
      </w:r>
      <w:r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A715D9">
        <w:rPr>
          <w:rFonts w:ascii="Times New Roman" w:hAnsi="Times New Roman" w:cs="Times New Roman"/>
          <w:i/>
          <w:iCs/>
          <w:sz w:val="24"/>
          <w:szCs w:val="24"/>
        </w:rPr>
        <w:t>ujemne ich skutki dla narodu litewskiego.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715D9">
        <w:rPr>
          <w:rFonts w:ascii="Times New Roman" w:hAnsi="Times New Roman" w:cs="Times New Roman"/>
          <w:i/>
          <w:iCs/>
          <w:sz w:val="24"/>
          <w:szCs w:val="24"/>
        </w:rPr>
        <w:t xml:space="preserve">W 1891 r. do litewskiego czytelnika </w:t>
      </w:r>
      <w:r w:rsidR="004858CC"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A715D9">
        <w:rPr>
          <w:rFonts w:ascii="Times New Roman" w:hAnsi="Times New Roman" w:cs="Times New Roman"/>
          <w:i/>
          <w:iCs/>
          <w:sz w:val="24"/>
          <w:szCs w:val="24"/>
        </w:rPr>
        <w:t>[…] dotarła pierwsza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715D9">
        <w:rPr>
          <w:rFonts w:ascii="Times New Roman" w:hAnsi="Times New Roman" w:cs="Times New Roman"/>
          <w:i/>
          <w:iCs/>
          <w:sz w:val="24"/>
          <w:szCs w:val="24"/>
        </w:rPr>
        <w:t xml:space="preserve">narodowa narracja historyczna […]. Pisał on [jej autor], </w:t>
      </w:r>
      <w:r w:rsidR="004858CC"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A715D9">
        <w:rPr>
          <w:rFonts w:ascii="Times New Roman" w:hAnsi="Times New Roman" w:cs="Times New Roman"/>
          <w:i/>
          <w:iCs/>
          <w:sz w:val="24"/>
          <w:szCs w:val="24"/>
        </w:rPr>
        <w:t>że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715D9">
        <w:rPr>
          <w:rFonts w:ascii="Times New Roman" w:hAnsi="Times New Roman" w:cs="Times New Roman"/>
          <w:i/>
          <w:iCs/>
          <w:sz w:val="24"/>
          <w:szCs w:val="24"/>
        </w:rPr>
        <w:t xml:space="preserve">zawarcie unii w Krewie było niezbędne dla chrystianizacji Litwy, złamania </w:t>
      </w:r>
      <w:r w:rsidR="004858CC"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A715D9">
        <w:rPr>
          <w:rFonts w:ascii="Times New Roman" w:hAnsi="Times New Roman" w:cs="Times New Roman"/>
          <w:i/>
          <w:iCs/>
          <w:sz w:val="24"/>
          <w:szCs w:val="24"/>
        </w:rPr>
        <w:t>potęgi zakonu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715D9">
        <w:rPr>
          <w:rFonts w:ascii="Times New Roman" w:hAnsi="Times New Roman" w:cs="Times New Roman"/>
          <w:i/>
          <w:iCs/>
          <w:sz w:val="24"/>
          <w:szCs w:val="24"/>
        </w:rPr>
        <w:t xml:space="preserve">krzyżackiego i wyzwolenia się spod wpływu rosyjskiego. </w:t>
      </w:r>
      <w:r w:rsidR="004858CC"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A715D9">
        <w:rPr>
          <w:rFonts w:ascii="Times New Roman" w:hAnsi="Times New Roman" w:cs="Times New Roman"/>
          <w:i/>
          <w:iCs/>
          <w:sz w:val="24"/>
          <w:szCs w:val="24"/>
        </w:rPr>
        <w:t>Jednocześnie twierdził, że […]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715D9">
        <w:rPr>
          <w:rFonts w:ascii="Times New Roman" w:hAnsi="Times New Roman" w:cs="Times New Roman"/>
          <w:i/>
          <w:iCs/>
          <w:sz w:val="24"/>
          <w:szCs w:val="24"/>
        </w:rPr>
        <w:t xml:space="preserve">[Litwie] unia z Polską „przyniosła wiele </w:t>
      </w:r>
      <w:r w:rsidR="004858CC"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A715D9">
        <w:rPr>
          <w:rFonts w:ascii="Times New Roman" w:hAnsi="Times New Roman" w:cs="Times New Roman"/>
          <w:i/>
          <w:iCs/>
          <w:sz w:val="24"/>
          <w:szCs w:val="24"/>
        </w:rPr>
        <w:t>nieszczęść”: rozpoczęła się polonizacja, wzrósł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715D9">
        <w:rPr>
          <w:rFonts w:ascii="Times New Roman" w:hAnsi="Times New Roman" w:cs="Times New Roman"/>
          <w:i/>
          <w:iCs/>
          <w:sz w:val="24"/>
          <w:szCs w:val="24"/>
        </w:rPr>
        <w:t xml:space="preserve">ucisk społeczny i zaostrzyły </w:t>
      </w:r>
      <w:r w:rsidR="004858CC"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A715D9">
        <w:rPr>
          <w:rFonts w:ascii="Times New Roman" w:hAnsi="Times New Roman" w:cs="Times New Roman"/>
          <w:i/>
          <w:iCs/>
          <w:sz w:val="24"/>
          <w:szCs w:val="24"/>
        </w:rPr>
        <w:t>się konflikty wewnątrz kraju. Najważniejszym ujemnym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715D9">
        <w:rPr>
          <w:rFonts w:ascii="Times New Roman" w:hAnsi="Times New Roman" w:cs="Times New Roman"/>
          <w:i/>
          <w:iCs/>
          <w:sz w:val="24"/>
          <w:szCs w:val="24"/>
        </w:rPr>
        <w:t xml:space="preserve">skutkiem była polonizacja </w:t>
      </w:r>
      <w:r w:rsidR="004858CC"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A715D9">
        <w:rPr>
          <w:rFonts w:ascii="Times New Roman" w:hAnsi="Times New Roman" w:cs="Times New Roman"/>
          <w:i/>
          <w:iCs/>
          <w:sz w:val="24"/>
          <w:szCs w:val="24"/>
        </w:rPr>
        <w:t>Litwy […]. Negatywne skutki unii podkreślono również w wydanej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715D9">
        <w:rPr>
          <w:rFonts w:ascii="Times New Roman" w:hAnsi="Times New Roman" w:cs="Times New Roman"/>
          <w:i/>
          <w:iCs/>
          <w:sz w:val="24"/>
          <w:szCs w:val="24"/>
        </w:rPr>
        <w:t xml:space="preserve">w 1911 r. historii </w:t>
      </w:r>
      <w:r w:rsidR="004858CC"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A715D9">
        <w:rPr>
          <w:rFonts w:ascii="Times New Roman" w:hAnsi="Times New Roman" w:cs="Times New Roman"/>
          <w:i/>
          <w:iCs/>
          <w:sz w:val="24"/>
          <w:szCs w:val="24"/>
        </w:rPr>
        <w:t>Litwy […]. W tym przypadku autor […] na przykład unię horodelską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715D9">
        <w:rPr>
          <w:rFonts w:ascii="Times New Roman" w:hAnsi="Times New Roman" w:cs="Times New Roman"/>
          <w:i/>
          <w:iCs/>
          <w:sz w:val="24"/>
          <w:szCs w:val="24"/>
        </w:rPr>
        <w:t xml:space="preserve">ocenił nawet </w:t>
      </w:r>
      <w:r w:rsidR="004858CC"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A715D9">
        <w:rPr>
          <w:rFonts w:ascii="Times New Roman" w:hAnsi="Times New Roman" w:cs="Times New Roman"/>
          <w:i/>
          <w:iCs/>
          <w:sz w:val="24"/>
          <w:szCs w:val="24"/>
        </w:rPr>
        <w:t>jako pewne zwycięstwo negocjacyjne Litwinów (podkreślając zasługi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715D9">
        <w:rPr>
          <w:rFonts w:ascii="Times New Roman" w:hAnsi="Times New Roman" w:cs="Times New Roman"/>
          <w:i/>
          <w:iCs/>
          <w:sz w:val="24"/>
          <w:szCs w:val="24"/>
        </w:rPr>
        <w:t xml:space="preserve">księcia </w:t>
      </w:r>
      <w:r w:rsidR="004858CC"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A715D9">
        <w:rPr>
          <w:rFonts w:ascii="Times New Roman" w:hAnsi="Times New Roman" w:cs="Times New Roman"/>
          <w:i/>
          <w:iCs/>
          <w:sz w:val="24"/>
          <w:szCs w:val="24"/>
        </w:rPr>
        <w:t>Witolda), porównując ją z wcześniejszymi uniami w Krewie i wileńsko-radomską: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858CC"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A715D9">
        <w:rPr>
          <w:rFonts w:ascii="Times New Roman" w:hAnsi="Times New Roman" w:cs="Times New Roman"/>
          <w:i/>
          <w:iCs/>
          <w:sz w:val="24"/>
          <w:szCs w:val="24"/>
        </w:rPr>
        <w:t>„W Horodle Litwini zjednoczyli się z Polakami jak równi z równymi” […].</w:t>
      </w:r>
    </w:p>
    <w:p w14:paraId="49E5A1CB" w14:textId="77777777" w:rsidR="004858CC" w:rsidRDefault="004858CC" w:rsidP="00A715D9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386CD0C" w14:textId="097CD70B" w:rsidR="00BC623C" w:rsidRDefault="00A715D9" w:rsidP="00A715D9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715D9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W prasie litewskiej [na początku XX w.] podkreślono, że mimo wspólnej przeszłości </w:t>
      </w:r>
      <w:r w:rsidR="004858CC"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A715D9">
        <w:rPr>
          <w:rFonts w:ascii="Times New Roman" w:hAnsi="Times New Roman" w:cs="Times New Roman"/>
          <w:i/>
          <w:iCs/>
          <w:sz w:val="24"/>
          <w:szCs w:val="24"/>
        </w:rPr>
        <w:t>narracja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715D9">
        <w:rPr>
          <w:rFonts w:ascii="Times New Roman" w:hAnsi="Times New Roman" w:cs="Times New Roman"/>
          <w:i/>
          <w:iCs/>
          <w:sz w:val="24"/>
          <w:szCs w:val="24"/>
        </w:rPr>
        <w:t xml:space="preserve">historyczna Litwinów i Polaków zasadniczo się różni, a dobitnym przykładem </w:t>
      </w:r>
      <w:r w:rsidR="004858CC"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A715D9">
        <w:rPr>
          <w:rFonts w:ascii="Times New Roman" w:hAnsi="Times New Roman" w:cs="Times New Roman"/>
          <w:i/>
          <w:iCs/>
          <w:sz w:val="24"/>
          <w:szCs w:val="24"/>
        </w:rPr>
        <w:t>takiej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715D9">
        <w:rPr>
          <w:rFonts w:ascii="Times New Roman" w:hAnsi="Times New Roman" w:cs="Times New Roman"/>
          <w:i/>
          <w:iCs/>
          <w:sz w:val="24"/>
          <w:szCs w:val="24"/>
        </w:rPr>
        <w:t>różnicy jest odmienna ocena unii: u Polaków budzi ona poczucie dumy, a u Litwinów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715D9">
        <w:rPr>
          <w:rFonts w:ascii="Times New Roman" w:hAnsi="Times New Roman" w:cs="Times New Roman"/>
          <w:i/>
          <w:iCs/>
          <w:sz w:val="24"/>
          <w:szCs w:val="24"/>
        </w:rPr>
        <w:t>wywołuje żałobny nastrój</w:t>
      </w:r>
      <w:r w:rsidR="00284454" w:rsidRPr="00284454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20A93522" w14:textId="39BC7E75" w:rsidR="00A715D9" w:rsidRPr="00A715D9" w:rsidRDefault="00A715D9" w:rsidP="00A715D9">
      <w:pPr>
        <w:spacing w:before="120" w:after="0" w:line="24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A715D9">
        <w:rPr>
          <w:rFonts w:ascii="Times New Roman" w:hAnsi="Times New Roman" w:cs="Times New Roman"/>
          <w:bCs/>
          <w:iCs/>
          <w:sz w:val="20"/>
          <w:szCs w:val="20"/>
          <w:vertAlign w:val="superscript"/>
        </w:rPr>
        <w:t xml:space="preserve">1 </w:t>
      </w:r>
      <w:proofErr w:type="spellStart"/>
      <w:r w:rsidRPr="00A715D9">
        <w:rPr>
          <w:rFonts w:ascii="Times New Roman" w:hAnsi="Times New Roman" w:cs="Times New Roman"/>
          <w:bCs/>
          <w:iCs/>
          <w:sz w:val="20"/>
          <w:szCs w:val="20"/>
        </w:rPr>
        <w:t>Dangiras</w:t>
      </w:r>
      <w:proofErr w:type="spellEnd"/>
      <w:r w:rsidRPr="00A715D9">
        <w:rPr>
          <w:rFonts w:ascii="Times New Roman" w:hAnsi="Times New Roman" w:cs="Times New Roman"/>
          <w:bCs/>
          <w:iCs/>
          <w:sz w:val="20"/>
          <w:szCs w:val="20"/>
        </w:rPr>
        <w:t xml:space="preserve"> </w:t>
      </w:r>
      <w:proofErr w:type="spellStart"/>
      <w:r w:rsidRPr="00A715D9">
        <w:rPr>
          <w:rFonts w:ascii="Times New Roman" w:hAnsi="Times New Roman" w:cs="Times New Roman"/>
          <w:bCs/>
          <w:iCs/>
          <w:sz w:val="20"/>
          <w:szCs w:val="20"/>
        </w:rPr>
        <w:t>Mačiulis</w:t>
      </w:r>
      <w:proofErr w:type="spellEnd"/>
      <w:r w:rsidRPr="00A715D9">
        <w:rPr>
          <w:rFonts w:ascii="Times New Roman" w:hAnsi="Times New Roman" w:cs="Times New Roman"/>
          <w:bCs/>
          <w:iCs/>
          <w:sz w:val="20"/>
          <w:szCs w:val="20"/>
        </w:rPr>
        <w:t xml:space="preserve"> </w:t>
      </w:r>
      <w:r w:rsidRPr="00A715D9">
        <w:rPr>
          <w:rFonts w:ascii="Times New Roman" w:hAnsi="Times New Roman" w:cs="Times New Roman"/>
          <w:iCs/>
          <w:sz w:val="20"/>
          <w:szCs w:val="20"/>
        </w:rPr>
        <w:t xml:space="preserve">(czyt. </w:t>
      </w:r>
      <w:proofErr w:type="spellStart"/>
      <w:r w:rsidRPr="00A715D9">
        <w:rPr>
          <w:rFonts w:ascii="Times New Roman" w:hAnsi="Times New Roman" w:cs="Times New Roman"/>
          <w:iCs/>
          <w:sz w:val="20"/>
          <w:szCs w:val="20"/>
        </w:rPr>
        <w:t>macziulis</w:t>
      </w:r>
      <w:proofErr w:type="spellEnd"/>
      <w:r w:rsidRPr="00A715D9">
        <w:rPr>
          <w:rFonts w:ascii="Times New Roman" w:hAnsi="Times New Roman" w:cs="Times New Roman"/>
          <w:iCs/>
          <w:sz w:val="20"/>
          <w:szCs w:val="20"/>
        </w:rPr>
        <w:t>) –</w:t>
      </w:r>
      <w:r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Pr="00A715D9">
        <w:rPr>
          <w:rFonts w:ascii="Times New Roman" w:hAnsi="Times New Roman" w:cs="Times New Roman"/>
          <w:iCs/>
          <w:sz w:val="20"/>
          <w:szCs w:val="20"/>
        </w:rPr>
        <w:t>współczesny historyk litewski zajmujący</w:t>
      </w:r>
      <w:r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Pr="00A715D9">
        <w:rPr>
          <w:rFonts w:ascii="Times New Roman" w:hAnsi="Times New Roman" w:cs="Times New Roman"/>
          <w:iCs/>
          <w:sz w:val="20"/>
          <w:szCs w:val="20"/>
        </w:rPr>
        <w:t xml:space="preserve">się głównie dziejami Litwy </w:t>
      </w:r>
      <w:r w:rsidR="004858CC">
        <w:rPr>
          <w:rFonts w:ascii="Times New Roman" w:hAnsi="Times New Roman" w:cs="Times New Roman"/>
          <w:iCs/>
          <w:sz w:val="20"/>
          <w:szCs w:val="20"/>
        </w:rPr>
        <w:br/>
      </w:r>
      <w:r w:rsidRPr="00A715D9">
        <w:rPr>
          <w:rFonts w:ascii="Times New Roman" w:hAnsi="Times New Roman" w:cs="Times New Roman"/>
          <w:iCs/>
          <w:sz w:val="20"/>
          <w:szCs w:val="20"/>
        </w:rPr>
        <w:t>w XIX w.</w:t>
      </w:r>
    </w:p>
    <w:p w14:paraId="3A073A3E" w14:textId="1D144195" w:rsidR="00A715D9" w:rsidRPr="00A715D9" w:rsidRDefault="00A715D9" w:rsidP="00A715D9">
      <w:pPr>
        <w:spacing w:before="120" w:after="0" w:line="24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A715D9">
        <w:rPr>
          <w:rFonts w:ascii="Times New Roman" w:hAnsi="Times New Roman" w:cs="Times New Roman"/>
          <w:bCs/>
          <w:iCs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bCs/>
          <w:iCs/>
          <w:sz w:val="20"/>
          <w:szCs w:val="20"/>
        </w:rPr>
        <w:t xml:space="preserve"> </w:t>
      </w:r>
      <w:r w:rsidRPr="00A715D9">
        <w:rPr>
          <w:rFonts w:ascii="Times New Roman" w:hAnsi="Times New Roman" w:cs="Times New Roman"/>
          <w:bCs/>
          <w:iCs/>
          <w:sz w:val="20"/>
          <w:szCs w:val="20"/>
        </w:rPr>
        <w:t xml:space="preserve">miejsca pamięci </w:t>
      </w:r>
      <w:r w:rsidRPr="00A715D9">
        <w:rPr>
          <w:rFonts w:ascii="Times New Roman" w:hAnsi="Times New Roman" w:cs="Times New Roman"/>
          <w:iCs/>
          <w:sz w:val="20"/>
          <w:szCs w:val="20"/>
        </w:rPr>
        <w:t>– termin sformułowany</w:t>
      </w:r>
      <w:r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Pr="00A715D9">
        <w:rPr>
          <w:rFonts w:ascii="Times New Roman" w:hAnsi="Times New Roman" w:cs="Times New Roman"/>
          <w:iCs/>
          <w:sz w:val="20"/>
          <w:szCs w:val="20"/>
        </w:rPr>
        <w:t>przez francuskiego historyka Pierre’a (czyt.</w:t>
      </w:r>
      <w:r>
        <w:rPr>
          <w:rFonts w:ascii="Times New Roman" w:hAnsi="Times New Roman" w:cs="Times New Roman"/>
          <w:iCs/>
          <w:sz w:val="20"/>
          <w:szCs w:val="20"/>
        </w:rPr>
        <w:t xml:space="preserve"> </w:t>
      </w:r>
      <w:proofErr w:type="spellStart"/>
      <w:r w:rsidRPr="00A715D9">
        <w:rPr>
          <w:rFonts w:ascii="Times New Roman" w:hAnsi="Times New Roman" w:cs="Times New Roman"/>
          <w:iCs/>
          <w:sz w:val="20"/>
          <w:szCs w:val="20"/>
        </w:rPr>
        <w:t>piera</w:t>
      </w:r>
      <w:proofErr w:type="spellEnd"/>
      <w:r w:rsidRPr="00A715D9">
        <w:rPr>
          <w:rFonts w:ascii="Times New Roman" w:hAnsi="Times New Roman" w:cs="Times New Roman"/>
          <w:iCs/>
          <w:sz w:val="20"/>
          <w:szCs w:val="20"/>
        </w:rPr>
        <w:t xml:space="preserve">) Norę w latach </w:t>
      </w:r>
      <w:r w:rsidR="004858CC">
        <w:rPr>
          <w:rFonts w:ascii="Times New Roman" w:hAnsi="Times New Roman" w:cs="Times New Roman"/>
          <w:iCs/>
          <w:sz w:val="20"/>
          <w:szCs w:val="20"/>
        </w:rPr>
        <w:br/>
      </w:r>
      <w:r w:rsidRPr="00A715D9">
        <w:rPr>
          <w:rFonts w:ascii="Times New Roman" w:hAnsi="Times New Roman" w:cs="Times New Roman"/>
          <w:iCs/>
          <w:sz w:val="20"/>
          <w:szCs w:val="20"/>
        </w:rPr>
        <w:t>70. XX w. Oznacza</w:t>
      </w:r>
      <w:r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Pr="00A715D9">
        <w:rPr>
          <w:rFonts w:ascii="Times New Roman" w:hAnsi="Times New Roman" w:cs="Times New Roman"/>
          <w:iCs/>
          <w:sz w:val="20"/>
          <w:szCs w:val="20"/>
        </w:rPr>
        <w:t>zinstytucjonalizowane formy zbiorowych</w:t>
      </w:r>
      <w:r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Pr="00A715D9">
        <w:rPr>
          <w:rFonts w:ascii="Times New Roman" w:hAnsi="Times New Roman" w:cs="Times New Roman"/>
          <w:iCs/>
          <w:sz w:val="20"/>
          <w:szCs w:val="20"/>
        </w:rPr>
        <w:t xml:space="preserve">wspomnień przeszłości, tj. miejsca </w:t>
      </w:r>
      <w:r w:rsidR="004858CC">
        <w:rPr>
          <w:rFonts w:ascii="Times New Roman" w:hAnsi="Times New Roman" w:cs="Times New Roman"/>
          <w:iCs/>
          <w:sz w:val="20"/>
          <w:szCs w:val="20"/>
        </w:rPr>
        <w:br/>
      </w:r>
      <w:r w:rsidRPr="00A715D9">
        <w:rPr>
          <w:rFonts w:ascii="Times New Roman" w:hAnsi="Times New Roman" w:cs="Times New Roman"/>
          <w:iCs/>
          <w:sz w:val="20"/>
          <w:szCs w:val="20"/>
        </w:rPr>
        <w:t>przechowujące</w:t>
      </w:r>
      <w:r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Pr="00A715D9">
        <w:rPr>
          <w:rFonts w:ascii="Times New Roman" w:hAnsi="Times New Roman" w:cs="Times New Roman"/>
          <w:iCs/>
          <w:sz w:val="20"/>
          <w:szCs w:val="20"/>
        </w:rPr>
        <w:t>wspomnienia przeszłości danej</w:t>
      </w:r>
      <w:r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Pr="00A715D9">
        <w:rPr>
          <w:rFonts w:ascii="Times New Roman" w:hAnsi="Times New Roman" w:cs="Times New Roman"/>
          <w:iCs/>
          <w:sz w:val="20"/>
          <w:szCs w:val="20"/>
        </w:rPr>
        <w:t>zbiorowości, ważne dla jej historii. Są to np.</w:t>
      </w:r>
      <w:r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Pr="00A715D9">
        <w:rPr>
          <w:rFonts w:ascii="Times New Roman" w:hAnsi="Times New Roman" w:cs="Times New Roman"/>
          <w:iCs/>
          <w:sz w:val="20"/>
          <w:szCs w:val="20"/>
        </w:rPr>
        <w:t xml:space="preserve">muzea, </w:t>
      </w:r>
      <w:r w:rsidR="004858CC">
        <w:rPr>
          <w:rFonts w:ascii="Times New Roman" w:hAnsi="Times New Roman" w:cs="Times New Roman"/>
          <w:iCs/>
          <w:sz w:val="20"/>
          <w:szCs w:val="20"/>
        </w:rPr>
        <w:br/>
      </w:r>
      <w:r w:rsidRPr="00A715D9">
        <w:rPr>
          <w:rFonts w:ascii="Times New Roman" w:hAnsi="Times New Roman" w:cs="Times New Roman"/>
          <w:iCs/>
          <w:sz w:val="20"/>
          <w:szCs w:val="20"/>
        </w:rPr>
        <w:t>pomniki bohaterów czy archiwa</w:t>
      </w:r>
      <w:r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Pr="00A715D9">
        <w:rPr>
          <w:rFonts w:ascii="Times New Roman" w:hAnsi="Times New Roman" w:cs="Times New Roman"/>
          <w:iCs/>
          <w:sz w:val="20"/>
          <w:szCs w:val="20"/>
        </w:rPr>
        <w:t>historyczne. W ostatnich latach termin ten</w:t>
      </w:r>
      <w:r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Pr="00A715D9">
        <w:rPr>
          <w:rFonts w:ascii="Times New Roman" w:hAnsi="Times New Roman" w:cs="Times New Roman"/>
          <w:iCs/>
          <w:sz w:val="20"/>
          <w:szCs w:val="20"/>
        </w:rPr>
        <w:t xml:space="preserve">mocno ewoluował i za </w:t>
      </w:r>
      <w:r w:rsidR="004858CC">
        <w:rPr>
          <w:rFonts w:ascii="Times New Roman" w:hAnsi="Times New Roman" w:cs="Times New Roman"/>
          <w:iCs/>
          <w:sz w:val="20"/>
          <w:szCs w:val="20"/>
        </w:rPr>
        <w:br/>
      </w:r>
      <w:r w:rsidRPr="00A715D9">
        <w:rPr>
          <w:rFonts w:ascii="Times New Roman" w:hAnsi="Times New Roman" w:cs="Times New Roman"/>
          <w:iCs/>
          <w:sz w:val="20"/>
          <w:szCs w:val="20"/>
        </w:rPr>
        <w:t>miejsca pamięci</w:t>
      </w:r>
      <w:r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Pr="00A715D9">
        <w:rPr>
          <w:rFonts w:ascii="Times New Roman" w:hAnsi="Times New Roman" w:cs="Times New Roman"/>
          <w:iCs/>
          <w:sz w:val="20"/>
          <w:szCs w:val="20"/>
        </w:rPr>
        <w:t>uznaje się także wydarzenia oraz przedmioty</w:t>
      </w:r>
      <w:r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Pr="00A715D9">
        <w:rPr>
          <w:rFonts w:ascii="Times New Roman" w:hAnsi="Times New Roman" w:cs="Times New Roman"/>
          <w:iCs/>
          <w:sz w:val="20"/>
          <w:szCs w:val="20"/>
        </w:rPr>
        <w:t xml:space="preserve">codziennego użytku. Jednak </w:t>
      </w:r>
      <w:r w:rsidR="004858CC">
        <w:rPr>
          <w:rFonts w:ascii="Times New Roman" w:hAnsi="Times New Roman" w:cs="Times New Roman"/>
          <w:iCs/>
          <w:sz w:val="20"/>
          <w:szCs w:val="20"/>
        </w:rPr>
        <w:br/>
      </w:r>
      <w:r w:rsidRPr="00A715D9">
        <w:rPr>
          <w:rFonts w:ascii="Times New Roman" w:hAnsi="Times New Roman" w:cs="Times New Roman"/>
          <w:iCs/>
          <w:sz w:val="20"/>
          <w:szCs w:val="20"/>
        </w:rPr>
        <w:t>warunkiem</w:t>
      </w:r>
      <w:r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Pr="00A715D9">
        <w:rPr>
          <w:rFonts w:ascii="Times New Roman" w:hAnsi="Times New Roman" w:cs="Times New Roman"/>
          <w:iCs/>
          <w:sz w:val="20"/>
          <w:szCs w:val="20"/>
        </w:rPr>
        <w:t>koniecznym do</w:t>
      </w:r>
      <w:r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Pr="00A715D9">
        <w:rPr>
          <w:rFonts w:ascii="Times New Roman" w:hAnsi="Times New Roman" w:cs="Times New Roman"/>
          <w:iCs/>
          <w:sz w:val="20"/>
          <w:szCs w:val="20"/>
        </w:rPr>
        <w:t>tego jest ich funkcja oddziaływania</w:t>
      </w:r>
      <w:r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Pr="00A715D9">
        <w:rPr>
          <w:rFonts w:ascii="Times New Roman" w:hAnsi="Times New Roman" w:cs="Times New Roman"/>
          <w:iCs/>
          <w:sz w:val="20"/>
          <w:szCs w:val="20"/>
        </w:rPr>
        <w:t>na społeczną pamięć o przeszłości.</w:t>
      </w:r>
      <w:r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4858CC">
        <w:rPr>
          <w:rFonts w:ascii="Times New Roman" w:hAnsi="Times New Roman" w:cs="Times New Roman"/>
          <w:iCs/>
          <w:sz w:val="20"/>
          <w:szCs w:val="20"/>
        </w:rPr>
        <w:br/>
      </w:r>
      <w:r w:rsidRPr="00A715D9">
        <w:rPr>
          <w:rFonts w:ascii="Times New Roman" w:hAnsi="Times New Roman" w:cs="Times New Roman"/>
          <w:iCs/>
          <w:sz w:val="20"/>
          <w:szCs w:val="20"/>
        </w:rPr>
        <w:t>Tak więc miejscem pamięci może być</w:t>
      </w:r>
      <w:r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Pr="00A715D9">
        <w:rPr>
          <w:rFonts w:ascii="Times New Roman" w:hAnsi="Times New Roman" w:cs="Times New Roman"/>
          <w:iCs/>
          <w:sz w:val="20"/>
          <w:szCs w:val="20"/>
        </w:rPr>
        <w:t>zarówno muzeum, jak i wydarzenie sprzed</w:t>
      </w:r>
      <w:r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Pr="00A715D9">
        <w:rPr>
          <w:rFonts w:ascii="Times New Roman" w:hAnsi="Times New Roman" w:cs="Times New Roman"/>
          <w:iCs/>
          <w:sz w:val="20"/>
          <w:szCs w:val="20"/>
        </w:rPr>
        <w:t>100 lat lub polski fiat 125 p.</w:t>
      </w:r>
    </w:p>
    <w:p w14:paraId="2BBFC817" w14:textId="26FCB982" w:rsidR="00F82D71" w:rsidRPr="00A715D9" w:rsidRDefault="00A715D9" w:rsidP="00A715D9">
      <w:pPr>
        <w:autoSpaceDE w:val="0"/>
        <w:autoSpaceDN w:val="0"/>
        <w:adjustRightInd w:val="0"/>
        <w:spacing w:before="240" w:after="240" w:line="240" w:lineRule="auto"/>
        <w:jc w:val="right"/>
        <w:rPr>
          <w:rFonts w:ascii="Times New Roman" w:hAnsi="Times New Roman" w:cs="Times New Roman"/>
          <w:iCs/>
        </w:rPr>
      </w:pPr>
      <w:proofErr w:type="spellStart"/>
      <w:r w:rsidRPr="00A715D9">
        <w:rPr>
          <w:rFonts w:ascii="Times New Roman" w:hAnsi="Times New Roman" w:cs="Times New Roman"/>
          <w:iCs/>
        </w:rPr>
        <w:t>Dangiras</w:t>
      </w:r>
      <w:proofErr w:type="spellEnd"/>
      <w:r w:rsidRPr="00A715D9">
        <w:rPr>
          <w:rFonts w:ascii="Times New Roman" w:hAnsi="Times New Roman" w:cs="Times New Roman"/>
          <w:iCs/>
        </w:rPr>
        <w:t xml:space="preserve"> </w:t>
      </w:r>
      <w:proofErr w:type="spellStart"/>
      <w:r w:rsidRPr="00A715D9">
        <w:rPr>
          <w:rFonts w:ascii="Times New Roman" w:hAnsi="Times New Roman" w:cs="Times New Roman"/>
          <w:iCs/>
        </w:rPr>
        <w:t>Mačiulis</w:t>
      </w:r>
      <w:proofErr w:type="spellEnd"/>
      <w:r w:rsidRPr="00A715D9">
        <w:rPr>
          <w:rFonts w:ascii="Times New Roman" w:hAnsi="Times New Roman" w:cs="Times New Roman"/>
          <w:iCs/>
        </w:rPr>
        <w:t xml:space="preserve">, </w:t>
      </w:r>
      <w:r w:rsidRPr="00A715D9">
        <w:rPr>
          <w:rFonts w:ascii="Times New Roman" w:hAnsi="Times New Roman" w:cs="Times New Roman"/>
          <w:i/>
          <w:iCs/>
        </w:rPr>
        <w:t xml:space="preserve">Obrazy unii między Wielkim Księstwem Litewskim a Królestwem Polskim </w:t>
      </w:r>
      <w:r>
        <w:rPr>
          <w:rFonts w:ascii="Times New Roman" w:hAnsi="Times New Roman" w:cs="Times New Roman"/>
          <w:i/>
          <w:iCs/>
        </w:rPr>
        <w:br/>
      </w:r>
      <w:r w:rsidRPr="00A715D9">
        <w:rPr>
          <w:rFonts w:ascii="Times New Roman" w:hAnsi="Times New Roman" w:cs="Times New Roman"/>
          <w:i/>
          <w:iCs/>
        </w:rPr>
        <w:t>w litewskiej</w:t>
      </w:r>
      <w:r>
        <w:rPr>
          <w:rFonts w:ascii="Times New Roman" w:hAnsi="Times New Roman" w:cs="Times New Roman"/>
          <w:i/>
          <w:iCs/>
        </w:rPr>
        <w:t xml:space="preserve"> </w:t>
      </w:r>
      <w:r w:rsidRPr="00A715D9">
        <w:rPr>
          <w:rFonts w:ascii="Times New Roman" w:hAnsi="Times New Roman" w:cs="Times New Roman"/>
          <w:i/>
          <w:iCs/>
        </w:rPr>
        <w:t>pamięci zbiorowej (koniec XIX w. – 1940 r.)</w:t>
      </w:r>
      <w:r w:rsidRPr="00A715D9">
        <w:rPr>
          <w:rFonts w:ascii="Times New Roman" w:hAnsi="Times New Roman" w:cs="Times New Roman"/>
          <w:iCs/>
        </w:rPr>
        <w:t xml:space="preserve">, „Acta </w:t>
      </w:r>
      <w:proofErr w:type="spellStart"/>
      <w:r w:rsidRPr="00A715D9">
        <w:rPr>
          <w:rFonts w:ascii="Times New Roman" w:hAnsi="Times New Roman" w:cs="Times New Roman"/>
          <w:iCs/>
        </w:rPr>
        <w:t>Baltico</w:t>
      </w:r>
      <w:proofErr w:type="spellEnd"/>
      <w:r w:rsidRPr="00A715D9">
        <w:rPr>
          <w:rFonts w:ascii="Times New Roman" w:hAnsi="Times New Roman" w:cs="Times New Roman"/>
          <w:iCs/>
        </w:rPr>
        <w:t xml:space="preserve">-Slavica” 41, 2017, </w:t>
      </w:r>
      <w:r>
        <w:rPr>
          <w:rFonts w:ascii="Times New Roman" w:hAnsi="Times New Roman" w:cs="Times New Roman"/>
          <w:iCs/>
        </w:rPr>
        <w:br/>
      </w:r>
      <w:r w:rsidRPr="00A715D9">
        <w:rPr>
          <w:rFonts w:ascii="Times New Roman" w:hAnsi="Times New Roman" w:cs="Times New Roman"/>
          <w:iCs/>
        </w:rPr>
        <w:t>s. 156–174,</w:t>
      </w:r>
      <w:r>
        <w:rPr>
          <w:rFonts w:ascii="Times New Roman" w:hAnsi="Times New Roman" w:cs="Times New Roman"/>
          <w:iCs/>
        </w:rPr>
        <w:t xml:space="preserve"> </w:t>
      </w:r>
      <w:r w:rsidRPr="00A715D9">
        <w:rPr>
          <w:rFonts w:ascii="Times New Roman" w:hAnsi="Times New Roman" w:cs="Times New Roman"/>
          <w:iCs/>
        </w:rPr>
        <w:t xml:space="preserve">DOI: </w:t>
      </w:r>
      <w:hyperlink r:id="rId7" w:history="1">
        <w:r w:rsidRPr="00A715D9">
          <w:rPr>
            <w:rStyle w:val="Hipercze"/>
            <w:rFonts w:ascii="Times New Roman" w:hAnsi="Times New Roman" w:cs="Times New Roman"/>
            <w:iCs/>
          </w:rPr>
          <w:t>https://doi.org/10.11649/abs.2017.012</w:t>
        </w:r>
      </w:hyperlink>
      <w:r w:rsidR="00F82D71" w:rsidRPr="00A715D9">
        <w:rPr>
          <w:rFonts w:ascii="Times New Roman" w:hAnsi="Times New Roman" w:cs="Times New Roman"/>
          <w:iCs/>
        </w:rPr>
        <w:t>.</w:t>
      </w:r>
    </w:p>
    <w:p w14:paraId="3CAB1BE5" w14:textId="21D73E18" w:rsidR="00F82D71" w:rsidRPr="00A715D9" w:rsidRDefault="00F82D71" w:rsidP="0028445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Cs/>
        </w:rPr>
      </w:pPr>
    </w:p>
    <w:p w14:paraId="4A164914" w14:textId="77777777" w:rsidR="00B2285A" w:rsidRPr="00A715D9" w:rsidRDefault="00B2285A" w:rsidP="0028445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A715D9">
        <w:rPr>
          <w:rFonts w:ascii="Times New Roman" w:hAnsi="Times New Roman" w:cs="Times New Roman"/>
          <w:b/>
          <w:color w:val="C00000"/>
          <w:sz w:val="24"/>
          <w:szCs w:val="24"/>
        </w:rPr>
        <w:t>Praca z tekstem</w:t>
      </w:r>
    </w:p>
    <w:p w14:paraId="37B6E5B9" w14:textId="381D65B2" w:rsidR="00792C70" w:rsidRPr="00792C70" w:rsidRDefault="00792C70" w:rsidP="00792C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2C70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1. </w:t>
      </w:r>
      <w:r w:rsidRPr="00792C70">
        <w:rPr>
          <w:rFonts w:ascii="Times New Roman" w:hAnsi="Times New Roman" w:cs="Times New Roman"/>
          <w:bCs/>
          <w:sz w:val="24"/>
          <w:szCs w:val="24"/>
        </w:rPr>
        <w:t xml:space="preserve">Wyjaśnij, w jaki sposób Polacy i Litwini postrzegali unie obu krajów w XIX–XX w. Jak sądzisz, z czego mogły wynikać te różnice? </w:t>
      </w:r>
    </w:p>
    <w:p w14:paraId="09243196" w14:textId="5AD3303C" w:rsidR="00B2285A" w:rsidRDefault="00792C70" w:rsidP="00792C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92C70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2. </w:t>
      </w:r>
      <w:r w:rsidRPr="00792C70">
        <w:rPr>
          <w:rFonts w:ascii="Times New Roman" w:hAnsi="Times New Roman" w:cs="Times New Roman"/>
          <w:bCs/>
          <w:sz w:val="24"/>
          <w:szCs w:val="24"/>
        </w:rPr>
        <w:t xml:space="preserve">Rozstrzygnij, czy słuszne jest stwierdzenie autora, że dla Polaków unie polsko-litewskie były </w:t>
      </w:r>
      <w:r w:rsidRPr="00792C70">
        <w:rPr>
          <w:rFonts w:ascii="Times New Roman" w:hAnsi="Times New Roman" w:cs="Times New Roman"/>
          <w:bCs/>
          <w:i/>
          <w:sz w:val="24"/>
          <w:szCs w:val="24"/>
        </w:rPr>
        <w:t>miejscami pamięci</w:t>
      </w:r>
      <w:r w:rsidRPr="00792C70">
        <w:rPr>
          <w:rFonts w:ascii="Times New Roman" w:hAnsi="Times New Roman" w:cs="Times New Roman"/>
          <w:bCs/>
          <w:sz w:val="24"/>
          <w:szCs w:val="24"/>
        </w:rPr>
        <w:t>. Odpowiedź uzasadnij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1FF0FFA8" w14:textId="02470236" w:rsidR="00A60FF2" w:rsidRPr="00F3741F" w:rsidRDefault="00A60FF2" w:rsidP="00792C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741F">
        <w:rPr>
          <w:rFonts w:ascii="Times New Roman" w:hAnsi="Times New Roman" w:cs="Times New Roman"/>
          <w:b/>
          <w:bCs/>
          <w:color w:val="C00000"/>
          <w:sz w:val="24"/>
          <w:szCs w:val="24"/>
        </w:rPr>
        <w:t>3.</w:t>
      </w:r>
      <w:r w:rsidRPr="00F3741F">
        <w:rPr>
          <w:rFonts w:ascii="Times New Roman" w:hAnsi="Times New Roman" w:cs="Times New Roman"/>
          <w:bCs/>
          <w:color w:val="C00000"/>
          <w:sz w:val="24"/>
          <w:szCs w:val="24"/>
        </w:rPr>
        <w:t xml:space="preserve"> </w:t>
      </w:r>
      <w:r w:rsidRPr="00F3741F">
        <w:rPr>
          <w:rFonts w:ascii="Times New Roman" w:hAnsi="Times New Roman" w:cs="Times New Roman"/>
          <w:bCs/>
          <w:sz w:val="24"/>
          <w:szCs w:val="24"/>
        </w:rPr>
        <w:t>Wymień przyczyny wskazywane przez XIX-wiecznych historyków litewskich, dla których Litwini zawarli unię z Królestwem Polskim.</w:t>
      </w:r>
    </w:p>
    <w:p w14:paraId="792C726F" w14:textId="0AF3E805" w:rsidR="00A60FF2" w:rsidRPr="00F3741F" w:rsidRDefault="00A60FF2" w:rsidP="00792C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741F">
        <w:rPr>
          <w:rFonts w:ascii="Times New Roman" w:hAnsi="Times New Roman" w:cs="Times New Roman"/>
          <w:b/>
          <w:bCs/>
          <w:color w:val="C00000"/>
          <w:sz w:val="24"/>
          <w:szCs w:val="24"/>
        </w:rPr>
        <w:t>4.</w:t>
      </w:r>
      <w:r w:rsidRPr="00F3741F">
        <w:rPr>
          <w:rFonts w:ascii="Times New Roman" w:hAnsi="Times New Roman" w:cs="Times New Roman"/>
          <w:bCs/>
          <w:color w:val="C00000"/>
          <w:sz w:val="24"/>
          <w:szCs w:val="24"/>
        </w:rPr>
        <w:t xml:space="preserve"> </w:t>
      </w:r>
      <w:r w:rsidRPr="00F3741F">
        <w:rPr>
          <w:rFonts w:ascii="Times New Roman" w:hAnsi="Times New Roman" w:cs="Times New Roman"/>
          <w:bCs/>
          <w:sz w:val="24"/>
          <w:szCs w:val="24"/>
        </w:rPr>
        <w:t>Podaj niekorzystne dla Litwinów konsekwencje zawarcia unii z Królestwem Polskim wskazywane przez XIX-wiecznych historyków litewskich.</w:t>
      </w:r>
    </w:p>
    <w:p w14:paraId="31D8DDCA" w14:textId="0F741EC7" w:rsidR="00A60FF2" w:rsidRPr="00F3741F" w:rsidRDefault="00A60FF2" w:rsidP="00792C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741F">
        <w:rPr>
          <w:rFonts w:ascii="Times New Roman" w:hAnsi="Times New Roman" w:cs="Times New Roman"/>
          <w:b/>
          <w:bCs/>
          <w:color w:val="C00000"/>
          <w:sz w:val="24"/>
          <w:szCs w:val="24"/>
        </w:rPr>
        <w:t>5.</w:t>
      </w:r>
      <w:r w:rsidRPr="00F3741F">
        <w:rPr>
          <w:rFonts w:ascii="Times New Roman" w:hAnsi="Times New Roman" w:cs="Times New Roman"/>
          <w:bCs/>
          <w:color w:val="C00000"/>
          <w:sz w:val="24"/>
          <w:szCs w:val="24"/>
        </w:rPr>
        <w:t xml:space="preserve"> </w:t>
      </w:r>
      <w:r w:rsidR="00611A50" w:rsidRPr="00F3741F">
        <w:rPr>
          <w:rFonts w:ascii="Times New Roman" w:hAnsi="Times New Roman" w:cs="Times New Roman"/>
          <w:bCs/>
          <w:sz w:val="24"/>
          <w:szCs w:val="24"/>
        </w:rPr>
        <w:t xml:space="preserve">Wyjaśnij, dlaczego Polacy w 2. połowie XIX i na początku XX w. kultywowali pamięć </w:t>
      </w:r>
      <w:r w:rsidR="00F3741F" w:rsidRPr="00F3741F">
        <w:rPr>
          <w:rFonts w:ascii="Times New Roman" w:hAnsi="Times New Roman" w:cs="Times New Roman"/>
          <w:bCs/>
          <w:sz w:val="24"/>
          <w:szCs w:val="24"/>
        </w:rPr>
        <w:br/>
      </w:r>
      <w:r w:rsidR="00611A50" w:rsidRPr="00F3741F">
        <w:rPr>
          <w:rFonts w:ascii="Times New Roman" w:hAnsi="Times New Roman" w:cs="Times New Roman"/>
          <w:bCs/>
          <w:sz w:val="24"/>
          <w:szCs w:val="24"/>
        </w:rPr>
        <w:t xml:space="preserve">o uniach polsko-litewskich. </w:t>
      </w:r>
    </w:p>
    <w:p w14:paraId="4A18BB5E" w14:textId="77777777" w:rsidR="00A60FF2" w:rsidRDefault="00A60FF2" w:rsidP="00792C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A60FF2" w:rsidSect="004858CC">
      <w:footerReference w:type="default" r:id="rId8"/>
      <w:pgSz w:w="11906" w:h="16838"/>
      <w:pgMar w:top="1474" w:right="1418" w:bottom="147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AA438D" w14:textId="77777777" w:rsidR="00FF1C3F" w:rsidRDefault="00FF1C3F" w:rsidP="00A05153">
      <w:pPr>
        <w:spacing w:after="0" w:line="240" w:lineRule="auto"/>
      </w:pPr>
      <w:r>
        <w:separator/>
      </w:r>
    </w:p>
  </w:endnote>
  <w:endnote w:type="continuationSeparator" w:id="0">
    <w:p w14:paraId="66DE3A63" w14:textId="77777777" w:rsidR="00FF1C3F" w:rsidRDefault="00FF1C3F" w:rsidP="00A05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5A42FB" w14:textId="77777777" w:rsidR="00A05153" w:rsidRDefault="00A05153" w:rsidP="00A05153">
    <w:pPr>
      <w:pStyle w:val="Stopka"/>
      <w:jc w:val="center"/>
    </w:pPr>
    <w:r>
      <w:ptab w:relativeTo="margin" w:alignment="center" w:leader="none"/>
    </w:r>
    <w:r w:rsidRPr="00060E27">
      <w:rPr>
        <w:noProof/>
        <w:lang w:eastAsia="pl-PL"/>
      </w:rPr>
      <w:drawing>
        <wp:inline distT="0" distB="0" distL="0" distR="0" wp14:anchorId="22C2FA19" wp14:editId="2D016095">
          <wp:extent cx="3562350" cy="323850"/>
          <wp:effectExtent l="0" t="0" r="0" b="0"/>
          <wp:docPr id="2" name="Obraz 2" descr="C:\Users\amazur\Desktop\1e. LICEUM 1. Kartkówki\stop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mazur\Desktop\1e. LICEUM 1. Kartkówki\stopk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6235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78AD79" w14:textId="77777777" w:rsidR="00FF1C3F" w:rsidRDefault="00FF1C3F" w:rsidP="00A05153">
      <w:pPr>
        <w:spacing w:after="0" w:line="240" w:lineRule="auto"/>
      </w:pPr>
      <w:r>
        <w:separator/>
      </w:r>
    </w:p>
  </w:footnote>
  <w:footnote w:type="continuationSeparator" w:id="0">
    <w:p w14:paraId="68613C36" w14:textId="77777777" w:rsidR="00FF1C3F" w:rsidRDefault="00FF1C3F" w:rsidP="00A051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4E599E"/>
    <w:multiLevelType w:val="hybridMultilevel"/>
    <w:tmpl w:val="A7EA5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CF6"/>
    <w:rsid w:val="000279DE"/>
    <w:rsid w:val="00031BFA"/>
    <w:rsid w:val="0019364B"/>
    <w:rsid w:val="001F1CF6"/>
    <w:rsid w:val="00250B05"/>
    <w:rsid w:val="00284454"/>
    <w:rsid w:val="003076F4"/>
    <w:rsid w:val="003A2025"/>
    <w:rsid w:val="003D2FF1"/>
    <w:rsid w:val="00442BE7"/>
    <w:rsid w:val="00451A91"/>
    <w:rsid w:val="004542B7"/>
    <w:rsid w:val="004858CC"/>
    <w:rsid w:val="004A71F0"/>
    <w:rsid w:val="005127FB"/>
    <w:rsid w:val="0054170F"/>
    <w:rsid w:val="005746CF"/>
    <w:rsid w:val="005A3312"/>
    <w:rsid w:val="005D20BB"/>
    <w:rsid w:val="00611A50"/>
    <w:rsid w:val="00626638"/>
    <w:rsid w:val="00674952"/>
    <w:rsid w:val="00771F76"/>
    <w:rsid w:val="00792C70"/>
    <w:rsid w:val="008A4C04"/>
    <w:rsid w:val="00902645"/>
    <w:rsid w:val="00960F11"/>
    <w:rsid w:val="009C4D02"/>
    <w:rsid w:val="009D4E16"/>
    <w:rsid w:val="00A05153"/>
    <w:rsid w:val="00A209CD"/>
    <w:rsid w:val="00A60FF2"/>
    <w:rsid w:val="00A715D9"/>
    <w:rsid w:val="00AA0CF9"/>
    <w:rsid w:val="00B2285A"/>
    <w:rsid w:val="00B460C8"/>
    <w:rsid w:val="00BB1F5E"/>
    <w:rsid w:val="00BC623C"/>
    <w:rsid w:val="00C43DBB"/>
    <w:rsid w:val="00C70CA7"/>
    <w:rsid w:val="00C81CC9"/>
    <w:rsid w:val="00D257C5"/>
    <w:rsid w:val="00E13E67"/>
    <w:rsid w:val="00E56E21"/>
    <w:rsid w:val="00EB5CD6"/>
    <w:rsid w:val="00EC29EF"/>
    <w:rsid w:val="00F3741F"/>
    <w:rsid w:val="00F47B60"/>
    <w:rsid w:val="00F82D71"/>
    <w:rsid w:val="00FF1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5B50292"/>
  <w15:chartTrackingRefBased/>
  <w15:docId w15:val="{D3CC2D8F-51CB-4B6F-9D1E-284C18EBE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40" w:after="40" w:line="257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F1CF6"/>
    <w:pPr>
      <w:spacing w:before="0"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B1F5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B1F5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B1F5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B1F5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B1F5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B1F5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B1F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1F5E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A05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5153"/>
  </w:style>
  <w:style w:type="paragraph" w:styleId="Stopka">
    <w:name w:val="footer"/>
    <w:basedOn w:val="Normalny"/>
    <w:link w:val="StopkaZnak"/>
    <w:uiPriority w:val="99"/>
    <w:unhideWhenUsed/>
    <w:rsid w:val="00A05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5153"/>
  </w:style>
  <w:style w:type="character" w:styleId="Hipercze">
    <w:name w:val="Hyperlink"/>
    <w:basedOn w:val="Domylnaczcionkaakapitu"/>
    <w:uiPriority w:val="99"/>
    <w:unhideWhenUsed/>
    <w:rsid w:val="00A715D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doi.org/10.11649/abs.2017.01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630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Sarmiento;Elżbieta Olczak</dc:creator>
  <cp:keywords/>
  <dc:description/>
  <cp:lastModifiedBy>Anna Sarmiento</cp:lastModifiedBy>
  <cp:revision>2</cp:revision>
  <dcterms:created xsi:type="dcterms:W3CDTF">2024-04-17T07:26:00Z</dcterms:created>
  <dcterms:modified xsi:type="dcterms:W3CDTF">2024-04-17T07:26:00Z</dcterms:modified>
</cp:coreProperties>
</file>