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A5121" w14:textId="25EB2A5C" w:rsidR="00A209CD" w:rsidRPr="009D4E16" w:rsidRDefault="009D4E16" w:rsidP="004858CC">
      <w:pPr>
        <w:spacing w:after="24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0" w:name="_GoBack"/>
      <w:bookmarkEnd w:id="0"/>
      <w:r w:rsidRPr="009D4E1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Unia polsko-litewska w opinii </w:t>
      </w:r>
      <w:r w:rsidR="00960F11" w:rsidRPr="009D4E16">
        <w:rPr>
          <w:rFonts w:ascii="Times New Roman" w:hAnsi="Times New Roman" w:cs="Times New Roman"/>
          <w:b/>
          <w:bCs/>
          <w:color w:val="C00000"/>
          <w:sz w:val="24"/>
          <w:szCs w:val="24"/>
        </w:rPr>
        <w:t>Polaków</w:t>
      </w:r>
      <w:r w:rsidRPr="009D4E1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i Litwinow kilkaset lat </w:t>
      </w:r>
      <w:r w:rsidR="00960F11" w:rsidRPr="009D4E16">
        <w:rPr>
          <w:rFonts w:ascii="Times New Roman" w:hAnsi="Times New Roman" w:cs="Times New Roman"/>
          <w:b/>
          <w:bCs/>
          <w:color w:val="C00000"/>
          <w:sz w:val="24"/>
          <w:szCs w:val="24"/>
        </w:rPr>
        <w:t>później</w:t>
      </w:r>
      <w:r w:rsidRPr="009D4E1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– analiza Dangirasa Mačiulisa</w:t>
      </w:r>
      <w:r w:rsidR="00A715D9" w:rsidRPr="00A715D9">
        <w:rPr>
          <w:rFonts w:ascii="Times New Roman" w:hAnsi="Times New Roman" w:cs="Times New Roman"/>
          <w:bCs/>
          <w:color w:val="C00000"/>
          <w:sz w:val="24"/>
          <w:szCs w:val="24"/>
          <w:vertAlign w:val="superscript"/>
        </w:rPr>
        <w:t>1</w:t>
      </w:r>
    </w:p>
    <w:p w14:paraId="0F7EE243" w14:textId="5E6CE727" w:rsidR="00A715D9" w:rsidRPr="00A715D9" w:rsidRDefault="00A715D9" w:rsidP="00A715D9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15D9">
        <w:rPr>
          <w:rFonts w:ascii="Times New Roman" w:hAnsi="Times New Roman" w:cs="Times New Roman"/>
          <w:i/>
          <w:iCs/>
          <w:sz w:val="24"/>
          <w:szCs w:val="24"/>
        </w:rPr>
        <w:t>W XIX w. dążenie do niepodległości politycznej zrodziło w Polsce potrzebę takiej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wizji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historii narodu, która by się przyczyniła do mobilizacji społeczeństwa, aby cel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ten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zrealizować. Zrodzona z unii między Królestwem Polskim a Wielkim Księstwem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Litewskim (dalej WKL) wizja […] niegdyś potężnego państwa Europy, zachęcała 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przywrócenia państwowości Polski w historycznych granicach. W drugiej połowie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XIX –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na początku XX w. w polskim krajobrazie pojawiły się znaki przywracające pamięć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o uniach: […] w 1886 r. w Krakowie podczas obchodów jubileuszu 500. rocznicy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unii w Krewie ustawiono pomnik Jadwigi i Jagiełły […]. Poza wymienionymi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materialnymi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znakami liczne obrazy unii pojawiły się również w historiografii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i literaturze.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Dla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społeczeństwa polskiego unie były […] </w:t>
      </w:r>
      <w:r w:rsidRPr="00792C70">
        <w:rPr>
          <w:rFonts w:ascii="Times New Roman" w:hAnsi="Times New Roman" w:cs="Times New Roman"/>
          <w:iCs/>
          <w:sz w:val="24"/>
          <w:szCs w:val="24"/>
        </w:rPr>
        <w:t>miejscami pamięci</w:t>
      </w:r>
      <w:r w:rsidRPr="00792C7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które świadczyły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o tradycji państwowości. […] jak wyglądał obraz unii w pamięci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zbiorowej litewskiego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społeczeństwa – czy stał się dla niego </w:t>
      </w:r>
      <w:r w:rsidRPr="00442BE7">
        <w:rPr>
          <w:rFonts w:ascii="Times New Roman" w:hAnsi="Times New Roman" w:cs="Times New Roman"/>
          <w:iCs/>
          <w:sz w:val="24"/>
          <w:szCs w:val="24"/>
        </w:rPr>
        <w:t>miejscem pamięci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? […]</w:t>
      </w:r>
    </w:p>
    <w:p w14:paraId="0BF37EC3" w14:textId="6BDD6957" w:rsidR="00A715D9" w:rsidRPr="00A715D9" w:rsidRDefault="00A715D9" w:rsidP="00A715D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15D9">
        <w:rPr>
          <w:rFonts w:ascii="Times New Roman" w:hAnsi="Times New Roman" w:cs="Times New Roman"/>
          <w:i/>
          <w:iCs/>
          <w:sz w:val="24"/>
          <w:szCs w:val="24"/>
        </w:rPr>
        <w:t>Litewski ruch narodowy konstruował narrację historyczną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w taki sposób, by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stała się narzędziem konsolidacji wspólnoty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etnicznej oraz by podkreśliła jej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prawo do samodzielności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kulturowej i politycznej. W zrodzonych przez litewski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ruch narodowy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narracjach unie między WKL a Królestwem Polskim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oceniono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jako konieczne wówczas warunki historyczne, jednak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zarazem podkreślono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ujemne ich skutki dla narodu litewskiego.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W 1891 r. do litewskiego czytelnika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[…] dotarła pierwsza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narodowa narracja historyczna […]. Pisał on [jej autor],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że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zawarcie unii w Krewie było niezbędne dla chrystianizacji Litwy, złamania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potęgi zakonu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krzyżackiego i wyzwolenia się spod wpływu rosyjskiego.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Jednocześnie twierdził, że […]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[Litwie] unia z Polską „przyniosła wiele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nieszczęść”: rozpoczęła się polonizacja, wzrósł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ucisk społeczny i zaostrzyły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się konflikty wewnątrz kraju. Najważniejszym ujemnym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skutkiem była polonizacja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Litwy […]. Negatywne skutki unii podkreślono również w wydanej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w 1911 r. historii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Litwy […]. W tym przypadku autor […] na przykład unię horodelską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ocenił nawet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jako pewne zwycięstwo negocjacyjne Litwinów (podkreślając zasługi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księcia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Witolda), porównując ją z wcześniejszymi uniami w Krewie i wileńsko-radomską: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„W Horodle Litwini zjednoczyli się z Polakami jak równi z równymi” […].</w:t>
      </w:r>
    </w:p>
    <w:p w14:paraId="49E5A1CB" w14:textId="77777777" w:rsidR="004858CC" w:rsidRDefault="004858CC" w:rsidP="00A715D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86CD0C" w14:textId="097CD70B" w:rsidR="00BC623C" w:rsidRDefault="00A715D9" w:rsidP="00A715D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15D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W prasie litewskiej [na początku XX w.] podkreślono, że mimo wspólnej przeszłości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narracja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 xml:space="preserve">historyczna Litwinów i Polaków zasadniczo się różni, a dobitnym przykładem </w:t>
      </w:r>
      <w:r w:rsidR="004858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takiej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różnicy jest odmienna ocena unii: u Polaków budzi ona poczucie dumy, a u Litwinów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5D9">
        <w:rPr>
          <w:rFonts w:ascii="Times New Roman" w:hAnsi="Times New Roman" w:cs="Times New Roman"/>
          <w:i/>
          <w:iCs/>
          <w:sz w:val="24"/>
          <w:szCs w:val="24"/>
        </w:rPr>
        <w:t>wywołuje żałobny nastrój</w:t>
      </w:r>
      <w:r w:rsidR="00284454" w:rsidRPr="002844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A93522" w14:textId="39BC7E75" w:rsidR="00A715D9" w:rsidRPr="00A715D9" w:rsidRDefault="00A715D9" w:rsidP="00A715D9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715D9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 xml:space="preserve">1 </w:t>
      </w:r>
      <w:proofErr w:type="spellStart"/>
      <w:r w:rsidRPr="00A715D9">
        <w:rPr>
          <w:rFonts w:ascii="Times New Roman" w:hAnsi="Times New Roman" w:cs="Times New Roman"/>
          <w:bCs/>
          <w:iCs/>
          <w:sz w:val="20"/>
          <w:szCs w:val="20"/>
        </w:rPr>
        <w:t>Dangiras</w:t>
      </w:r>
      <w:proofErr w:type="spellEnd"/>
      <w:r w:rsidRPr="00A715D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715D9">
        <w:rPr>
          <w:rFonts w:ascii="Times New Roman" w:hAnsi="Times New Roman" w:cs="Times New Roman"/>
          <w:bCs/>
          <w:iCs/>
          <w:sz w:val="20"/>
          <w:szCs w:val="20"/>
        </w:rPr>
        <w:t>Mačiulis</w:t>
      </w:r>
      <w:proofErr w:type="spellEnd"/>
      <w:r w:rsidRPr="00A715D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 xml:space="preserve">(czyt. </w:t>
      </w:r>
      <w:proofErr w:type="spellStart"/>
      <w:r w:rsidRPr="00A715D9">
        <w:rPr>
          <w:rFonts w:ascii="Times New Roman" w:hAnsi="Times New Roman" w:cs="Times New Roman"/>
          <w:iCs/>
          <w:sz w:val="20"/>
          <w:szCs w:val="20"/>
        </w:rPr>
        <w:t>macziulis</w:t>
      </w:r>
      <w:proofErr w:type="spellEnd"/>
      <w:r w:rsidRPr="00A715D9">
        <w:rPr>
          <w:rFonts w:ascii="Times New Roman" w:hAnsi="Times New Roman" w:cs="Times New Roman"/>
          <w:iCs/>
          <w:sz w:val="20"/>
          <w:szCs w:val="20"/>
        </w:rPr>
        <w:t>) –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współczesny historyk litewski zajmujący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 xml:space="preserve">się głównie dziejami Litwy </w:t>
      </w:r>
      <w:r w:rsidR="004858CC">
        <w:rPr>
          <w:rFonts w:ascii="Times New Roman" w:hAnsi="Times New Roman" w:cs="Times New Roman"/>
          <w:iCs/>
          <w:sz w:val="20"/>
          <w:szCs w:val="20"/>
        </w:rPr>
        <w:br/>
      </w:r>
      <w:r w:rsidRPr="00A715D9">
        <w:rPr>
          <w:rFonts w:ascii="Times New Roman" w:hAnsi="Times New Roman" w:cs="Times New Roman"/>
          <w:iCs/>
          <w:sz w:val="20"/>
          <w:szCs w:val="20"/>
        </w:rPr>
        <w:t>w XIX w.</w:t>
      </w:r>
    </w:p>
    <w:p w14:paraId="3A073A3E" w14:textId="1D144195" w:rsidR="00A715D9" w:rsidRPr="00A715D9" w:rsidRDefault="00A715D9" w:rsidP="00A715D9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715D9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bCs/>
          <w:iCs/>
          <w:sz w:val="20"/>
          <w:szCs w:val="20"/>
        </w:rPr>
        <w:t xml:space="preserve">miejsca pamięci </w:t>
      </w:r>
      <w:r w:rsidRPr="00A715D9">
        <w:rPr>
          <w:rFonts w:ascii="Times New Roman" w:hAnsi="Times New Roman" w:cs="Times New Roman"/>
          <w:iCs/>
          <w:sz w:val="20"/>
          <w:szCs w:val="20"/>
        </w:rPr>
        <w:t>– termin sformułowany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przez francuskiego historyka Pierre’a (czyt.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A715D9">
        <w:rPr>
          <w:rFonts w:ascii="Times New Roman" w:hAnsi="Times New Roman" w:cs="Times New Roman"/>
          <w:iCs/>
          <w:sz w:val="20"/>
          <w:szCs w:val="20"/>
        </w:rPr>
        <w:t>piera</w:t>
      </w:r>
      <w:proofErr w:type="spellEnd"/>
      <w:r w:rsidRPr="00A715D9">
        <w:rPr>
          <w:rFonts w:ascii="Times New Roman" w:hAnsi="Times New Roman" w:cs="Times New Roman"/>
          <w:iCs/>
          <w:sz w:val="20"/>
          <w:szCs w:val="20"/>
        </w:rPr>
        <w:t xml:space="preserve">) Norę w latach </w:t>
      </w:r>
      <w:r w:rsidR="004858CC">
        <w:rPr>
          <w:rFonts w:ascii="Times New Roman" w:hAnsi="Times New Roman" w:cs="Times New Roman"/>
          <w:iCs/>
          <w:sz w:val="20"/>
          <w:szCs w:val="20"/>
        </w:rPr>
        <w:br/>
      </w:r>
      <w:r w:rsidRPr="00A715D9">
        <w:rPr>
          <w:rFonts w:ascii="Times New Roman" w:hAnsi="Times New Roman" w:cs="Times New Roman"/>
          <w:iCs/>
          <w:sz w:val="20"/>
          <w:szCs w:val="20"/>
        </w:rPr>
        <w:t>70. XX w. Oznacza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zinstytucjonalizowane formy zbiorowych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 xml:space="preserve">wspomnień przeszłości, tj. miejsca </w:t>
      </w:r>
      <w:r w:rsidR="004858CC">
        <w:rPr>
          <w:rFonts w:ascii="Times New Roman" w:hAnsi="Times New Roman" w:cs="Times New Roman"/>
          <w:iCs/>
          <w:sz w:val="20"/>
          <w:szCs w:val="20"/>
        </w:rPr>
        <w:br/>
      </w:r>
      <w:r w:rsidRPr="00A715D9">
        <w:rPr>
          <w:rFonts w:ascii="Times New Roman" w:hAnsi="Times New Roman" w:cs="Times New Roman"/>
          <w:iCs/>
          <w:sz w:val="20"/>
          <w:szCs w:val="20"/>
        </w:rPr>
        <w:t>przechowujące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wspomnienia przeszłości danej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zbiorowości, ważne dla jej historii. Są to np.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 xml:space="preserve">muzea, </w:t>
      </w:r>
      <w:r w:rsidR="004858CC">
        <w:rPr>
          <w:rFonts w:ascii="Times New Roman" w:hAnsi="Times New Roman" w:cs="Times New Roman"/>
          <w:iCs/>
          <w:sz w:val="20"/>
          <w:szCs w:val="20"/>
        </w:rPr>
        <w:br/>
      </w:r>
      <w:r w:rsidRPr="00A715D9">
        <w:rPr>
          <w:rFonts w:ascii="Times New Roman" w:hAnsi="Times New Roman" w:cs="Times New Roman"/>
          <w:iCs/>
          <w:sz w:val="20"/>
          <w:szCs w:val="20"/>
        </w:rPr>
        <w:t>pomniki bohaterów czy archiwa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historyczne. W ostatnich latach termin ten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 xml:space="preserve">mocno ewoluował i za </w:t>
      </w:r>
      <w:r w:rsidR="004858CC">
        <w:rPr>
          <w:rFonts w:ascii="Times New Roman" w:hAnsi="Times New Roman" w:cs="Times New Roman"/>
          <w:iCs/>
          <w:sz w:val="20"/>
          <w:szCs w:val="20"/>
        </w:rPr>
        <w:br/>
      </w:r>
      <w:r w:rsidRPr="00A715D9">
        <w:rPr>
          <w:rFonts w:ascii="Times New Roman" w:hAnsi="Times New Roman" w:cs="Times New Roman"/>
          <w:iCs/>
          <w:sz w:val="20"/>
          <w:szCs w:val="20"/>
        </w:rPr>
        <w:t>miejsca pamięci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uznaje się także wydarzenia oraz przedmioty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 xml:space="preserve">codziennego użytku. Jednak </w:t>
      </w:r>
      <w:r w:rsidR="004858CC">
        <w:rPr>
          <w:rFonts w:ascii="Times New Roman" w:hAnsi="Times New Roman" w:cs="Times New Roman"/>
          <w:iCs/>
          <w:sz w:val="20"/>
          <w:szCs w:val="20"/>
        </w:rPr>
        <w:br/>
      </w:r>
      <w:r w:rsidRPr="00A715D9">
        <w:rPr>
          <w:rFonts w:ascii="Times New Roman" w:hAnsi="Times New Roman" w:cs="Times New Roman"/>
          <w:iCs/>
          <w:sz w:val="20"/>
          <w:szCs w:val="20"/>
        </w:rPr>
        <w:t>warunkiem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koniecznym do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tego jest ich funkcja oddziaływania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na społeczną pamięć o przeszłości.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858CC">
        <w:rPr>
          <w:rFonts w:ascii="Times New Roman" w:hAnsi="Times New Roman" w:cs="Times New Roman"/>
          <w:iCs/>
          <w:sz w:val="20"/>
          <w:szCs w:val="20"/>
        </w:rPr>
        <w:br/>
      </w:r>
      <w:r w:rsidRPr="00A715D9">
        <w:rPr>
          <w:rFonts w:ascii="Times New Roman" w:hAnsi="Times New Roman" w:cs="Times New Roman"/>
          <w:iCs/>
          <w:sz w:val="20"/>
          <w:szCs w:val="20"/>
        </w:rPr>
        <w:t>Tak więc miejscem pamięci może być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zarówno muzeum, jak i wydarzenie sprzed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15D9">
        <w:rPr>
          <w:rFonts w:ascii="Times New Roman" w:hAnsi="Times New Roman" w:cs="Times New Roman"/>
          <w:iCs/>
          <w:sz w:val="20"/>
          <w:szCs w:val="20"/>
        </w:rPr>
        <w:t>100 lat lub polski fiat 125 p.</w:t>
      </w:r>
    </w:p>
    <w:p w14:paraId="2BBFC817" w14:textId="26FCB982" w:rsidR="00F82D71" w:rsidRPr="00A715D9" w:rsidRDefault="00A715D9" w:rsidP="00A715D9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Times New Roman" w:hAnsi="Times New Roman" w:cs="Times New Roman"/>
          <w:iCs/>
        </w:rPr>
      </w:pPr>
      <w:proofErr w:type="spellStart"/>
      <w:r w:rsidRPr="00A715D9">
        <w:rPr>
          <w:rFonts w:ascii="Times New Roman" w:hAnsi="Times New Roman" w:cs="Times New Roman"/>
          <w:iCs/>
        </w:rPr>
        <w:t>Dangiras</w:t>
      </w:r>
      <w:proofErr w:type="spellEnd"/>
      <w:r w:rsidRPr="00A715D9">
        <w:rPr>
          <w:rFonts w:ascii="Times New Roman" w:hAnsi="Times New Roman" w:cs="Times New Roman"/>
          <w:iCs/>
        </w:rPr>
        <w:t xml:space="preserve"> </w:t>
      </w:r>
      <w:proofErr w:type="spellStart"/>
      <w:r w:rsidRPr="00A715D9">
        <w:rPr>
          <w:rFonts w:ascii="Times New Roman" w:hAnsi="Times New Roman" w:cs="Times New Roman"/>
          <w:iCs/>
        </w:rPr>
        <w:t>Mačiulis</w:t>
      </w:r>
      <w:proofErr w:type="spellEnd"/>
      <w:r w:rsidRPr="00A715D9">
        <w:rPr>
          <w:rFonts w:ascii="Times New Roman" w:hAnsi="Times New Roman" w:cs="Times New Roman"/>
          <w:iCs/>
        </w:rPr>
        <w:t xml:space="preserve">, </w:t>
      </w:r>
      <w:r w:rsidRPr="00A715D9">
        <w:rPr>
          <w:rFonts w:ascii="Times New Roman" w:hAnsi="Times New Roman" w:cs="Times New Roman"/>
          <w:i/>
          <w:iCs/>
        </w:rPr>
        <w:t xml:space="preserve">Obrazy unii między Wielkim Księstwem Litewskim a Królestwem Polskim </w:t>
      </w:r>
      <w:r>
        <w:rPr>
          <w:rFonts w:ascii="Times New Roman" w:hAnsi="Times New Roman" w:cs="Times New Roman"/>
          <w:i/>
          <w:iCs/>
        </w:rPr>
        <w:br/>
      </w:r>
      <w:r w:rsidRPr="00A715D9">
        <w:rPr>
          <w:rFonts w:ascii="Times New Roman" w:hAnsi="Times New Roman" w:cs="Times New Roman"/>
          <w:i/>
          <w:iCs/>
        </w:rPr>
        <w:t>w litewskiej</w:t>
      </w:r>
      <w:r>
        <w:rPr>
          <w:rFonts w:ascii="Times New Roman" w:hAnsi="Times New Roman" w:cs="Times New Roman"/>
          <w:i/>
          <w:iCs/>
        </w:rPr>
        <w:t xml:space="preserve"> </w:t>
      </w:r>
      <w:r w:rsidRPr="00A715D9">
        <w:rPr>
          <w:rFonts w:ascii="Times New Roman" w:hAnsi="Times New Roman" w:cs="Times New Roman"/>
          <w:i/>
          <w:iCs/>
        </w:rPr>
        <w:t>pamięci zbiorowej (koniec XIX w. – 1940 r.)</w:t>
      </w:r>
      <w:r w:rsidRPr="00A715D9">
        <w:rPr>
          <w:rFonts w:ascii="Times New Roman" w:hAnsi="Times New Roman" w:cs="Times New Roman"/>
          <w:iCs/>
        </w:rPr>
        <w:t xml:space="preserve">, „Acta </w:t>
      </w:r>
      <w:proofErr w:type="spellStart"/>
      <w:r w:rsidRPr="00A715D9">
        <w:rPr>
          <w:rFonts w:ascii="Times New Roman" w:hAnsi="Times New Roman" w:cs="Times New Roman"/>
          <w:iCs/>
        </w:rPr>
        <w:t>Baltico</w:t>
      </w:r>
      <w:proofErr w:type="spellEnd"/>
      <w:r w:rsidRPr="00A715D9">
        <w:rPr>
          <w:rFonts w:ascii="Times New Roman" w:hAnsi="Times New Roman" w:cs="Times New Roman"/>
          <w:iCs/>
        </w:rPr>
        <w:t xml:space="preserve">-Slavica” 41, 2017, </w:t>
      </w:r>
      <w:r>
        <w:rPr>
          <w:rFonts w:ascii="Times New Roman" w:hAnsi="Times New Roman" w:cs="Times New Roman"/>
          <w:iCs/>
        </w:rPr>
        <w:br/>
      </w:r>
      <w:r w:rsidRPr="00A715D9">
        <w:rPr>
          <w:rFonts w:ascii="Times New Roman" w:hAnsi="Times New Roman" w:cs="Times New Roman"/>
          <w:iCs/>
        </w:rPr>
        <w:t>s. 156–174,</w:t>
      </w:r>
      <w:r>
        <w:rPr>
          <w:rFonts w:ascii="Times New Roman" w:hAnsi="Times New Roman" w:cs="Times New Roman"/>
          <w:iCs/>
        </w:rPr>
        <w:t xml:space="preserve"> </w:t>
      </w:r>
      <w:r w:rsidRPr="00A715D9">
        <w:rPr>
          <w:rFonts w:ascii="Times New Roman" w:hAnsi="Times New Roman" w:cs="Times New Roman"/>
          <w:iCs/>
        </w:rPr>
        <w:t xml:space="preserve">DOI: </w:t>
      </w:r>
      <w:hyperlink r:id="rId7" w:history="1">
        <w:r w:rsidRPr="00A715D9">
          <w:rPr>
            <w:rStyle w:val="Hipercze"/>
            <w:rFonts w:ascii="Times New Roman" w:hAnsi="Times New Roman" w:cs="Times New Roman"/>
            <w:iCs/>
          </w:rPr>
          <w:t>https://doi.org/10.11649/abs.2017.012</w:t>
        </w:r>
      </w:hyperlink>
      <w:r w:rsidR="00F82D71" w:rsidRPr="00A715D9">
        <w:rPr>
          <w:rFonts w:ascii="Times New Roman" w:hAnsi="Times New Roman" w:cs="Times New Roman"/>
          <w:iCs/>
        </w:rPr>
        <w:t>.</w:t>
      </w:r>
    </w:p>
    <w:p w14:paraId="3CAB1BE5" w14:textId="21D73E18" w:rsidR="00F82D71" w:rsidRPr="00A715D9" w:rsidRDefault="00F82D71" w:rsidP="00284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4A164914" w14:textId="77777777" w:rsidR="00B2285A" w:rsidRPr="00A715D9" w:rsidRDefault="00B2285A" w:rsidP="00284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715D9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</w:p>
    <w:p w14:paraId="37B6E5B9" w14:textId="381D65B2" w:rsidR="00792C70" w:rsidRPr="00792C70" w:rsidRDefault="00792C70" w:rsidP="00792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C7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1. </w:t>
      </w:r>
      <w:r w:rsidRPr="00792C70">
        <w:rPr>
          <w:rFonts w:ascii="Times New Roman" w:hAnsi="Times New Roman" w:cs="Times New Roman"/>
          <w:bCs/>
          <w:sz w:val="24"/>
          <w:szCs w:val="24"/>
        </w:rPr>
        <w:t xml:space="preserve">Wyjaśnij, w jaki sposób Polacy i Litwini postrzegali unie obu krajów w XIX–XX w. Jak sądzisz, z czego mogły wynikać te różnice? </w:t>
      </w:r>
    </w:p>
    <w:p w14:paraId="09243196" w14:textId="5AD3303C" w:rsidR="00B2285A" w:rsidRDefault="00792C70" w:rsidP="00792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C7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2. </w:t>
      </w:r>
      <w:r w:rsidRPr="00792C70">
        <w:rPr>
          <w:rFonts w:ascii="Times New Roman" w:hAnsi="Times New Roman" w:cs="Times New Roman"/>
          <w:bCs/>
          <w:sz w:val="24"/>
          <w:szCs w:val="24"/>
        </w:rPr>
        <w:t xml:space="preserve">Rozstrzygnij, czy słuszne jest stwierdzenie autora, że dla Polaków unie polsko-litewskie były </w:t>
      </w:r>
      <w:r w:rsidRPr="00792C70">
        <w:rPr>
          <w:rFonts w:ascii="Times New Roman" w:hAnsi="Times New Roman" w:cs="Times New Roman"/>
          <w:bCs/>
          <w:i/>
          <w:sz w:val="24"/>
          <w:szCs w:val="24"/>
        </w:rPr>
        <w:t>miejscami pamięci</w:t>
      </w:r>
      <w:r w:rsidRPr="00792C70">
        <w:rPr>
          <w:rFonts w:ascii="Times New Roman" w:hAnsi="Times New Roman" w:cs="Times New Roman"/>
          <w:bCs/>
          <w:sz w:val="24"/>
          <w:szCs w:val="24"/>
        </w:rPr>
        <w:t>. Odpowiedź uzasadnij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F0FFA8" w14:textId="02470236" w:rsidR="00A60FF2" w:rsidRPr="00F3741F" w:rsidRDefault="00A60FF2" w:rsidP="00792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41F">
        <w:rPr>
          <w:rFonts w:ascii="Times New Roman" w:hAnsi="Times New Roman" w:cs="Times New Roman"/>
          <w:b/>
          <w:bCs/>
          <w:color w:val="C00000"/>
          <w:sz w:val="24"/>
          <w:szCs w:val="24"/>
        </w:rPr>
        <w:t>3.</w:t>
      </w:r>
      <w:r w:rsidRPr="00F3741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F3741F">
        <w:rPr>
          <w:rFonts w:ascii="Times New Roman" w:hAnsi="Times New Roman" w:cs="Times New Roman"/>
          <w:bCs/>
          <w:sz w:val="24"/>
          <w:szCs w:val="24"/>
        </w:rPr>
        <w:t>Wymień przyczyny wskazywane przez XIX-wiecznych historyków litewskich, dla których Litwini zawarli unię z Królestwem Polskim.</w:t>
      </w:r>
    </w:p>
    <w:p w14:paraId="792C726F" w14:textId="0AF3E805" w:rsidR="00A60FF2" w:rsidRPr="00F3741F" w:rsidRDefault="00A60FF2" w:rsidP="00792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41F">
        <w:rPr>
          <w:rFonts w:ascii="Times New Roman" w:hAnsi="Times New Roman" w:cs="Times New Roman"/>
          <w:b/>
          <w:bCs/>
          <w:color w:val="C00000"/>
          <w:sz w:val="24"/>
          <w:szCs w:val="24"/>
        </w:rPr>
        <w:t>4.</w:t>
      </w:r>
      <w:r w:rsidRPr="00F3741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F3741F">
        <w:rPr>
          <w:rFonts w:ascii="Times New Roman" w:hAnsi="Times New Roman" w:cs="Times New Roman"/>
          <w:bCs/>
          <w:sz w:val="24"/>
          <w:szCs w:val="24"/>
        </w:rPr>
        <w:t>Podaj niekorzystne dla Litwinów konsekwencje zawarcia unii z Królestwem Polskim wskazywane przez XIX-wiecznych historyków litewskich.</w:t>
      </w:r>
    </w:p>
    <w:p w14:paraId="31D8DDCA" w14:textId="0F741EC7" w:rsidR="00A60FF2" w:rsidRPr="00F3741F" w:rsidRDefault="00A60FF2" w:rsidP="00792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41F">
        <w:rPr>
          <w:rFonts w:ascii="Times New Roman" w:hAnsi="Times New Roman" w:cs="Times New Roman"/>
          <w:b/>
          <w:bCs/>
          <w:color w:val="C00000"/>
          <w:sz w:val="24"/>
          <w:szCs w:val="24"/>
        </w:rPr>
        <w:t>5.</w:t>
      </w:r>
      <w:r w:rsidRPr="00F3741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611A50" w:rsidRPr="00F3741F">
        <w:rPr>
          <w:rFonts w:ascii="Times New Roman" w:hAnsi="Times New Roman" w:cs="Times New Roman"/>
          <w:bCs/>
          <w:sz w:val="24"/>
          <w:szCs w:val="24"/>
        </w:rPr>
        <w:t xml:space="preserve">Wyjaśnij, dlaczego Polacy w 2. połowie XIX i na początku XX w. kultywowali pamięć </w:t>
      </w:r>
      <w:r w:rsidR="00F3741F" w:rsidRPr="00F3741F">
        <w:rPr>
          <w:rFonts w:ascii="Times New Roman" w:hAnsi="Times New Roman" w:cs="Times New Roman"/>
          <w:bCs/>
          <w:sz w:val="24"/>
          <w:szCs w:val="24"/>
        </w:rPr>
        <w:br/>
      </w:r>
      <w:r w:rsidR="00611A50" w:rsidRPr="00F3741F">
        <w:rPr>
          <w:rFonts w:ascii="Times New Roman" w:hAnsi="Times New Roman" w:cs="Times New Roman"/>
          <w:bCs/>
          <w:sz w:val="24"/>
          <w:szCs w:val="24"/>
        </w:rPr>
        <w:t xml:space="preserve">o uniach polsko-litewskich. </w:t>
      </w:r>
    </w:p>
    <w:p w14:paraId="4A18BB5E" w14:textId="77777777" w:rsidR="00A60FF2" w:rsidRDefault="00A60FF2" w:rsidP="00792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60FF2" w:rsidSect="004858CC">
      <w:footerReference w:type="default" r:id="rId8"/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A438D" w14:textId="77777777" w:rsidR="00FF1C3F" w:rsidRDefault="00FF1C3F" w:rsidP="00A05153">
      <w:pPr>
        <w:spacing w:after="0" w:line="240" w:lineRule="auto"/>
      </w:pPr>
      <w:r>
        <w:separator/>
      </w:r>
    </w:p>
  </w:endnote>
  <w:endnote w:type="continuationSeparator" w:id="0">
    <w:p w14:paraId="66DE3A63" w14:textId="77777777" w:rsidR="00FF1C3F" w:rsidRDefault="00FF1C3F" w:rsidP="00A0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42FB" w14:textId="77777777" w:rsidR="00A05153" w:rsidRDefault="00A05153" w:rsidP="00A05153">
    <w:pPr>
      <w:pStyle w:val="Stopka"/>
      <w:jc w:val="center"/>
    </w:pPr>
    <w:r>
      <w:ptab w:relativeTo="margin" w:alignment="center" w:leader="none"/>
    </w:r>
    <w:r w:rsidRPr="00060E27">
      <w:rPr>
        <w:noProof/>
        <w:lang w:eastAsia="pl-PL"/>
      </w:rPr>
      <w:drawing>
        <wp:inline distT="0" distB="0" distL="0" distR="0" wp14:anchorId="22C2FA19" wp14:editId="2D016095">
          <wp:extent cx="3562350" cy="323850"/>
          <wp:effectExtent l="0" t="0" r="0" b="0"/>
          <wp:docPr id="2" name="Obraz 2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8AD79" w14:textId="77777777" w:rsidR="00FF1C3F" w:rsidRDefault="00FF1C3F" w:rsidP="00A05153">
      <w:pPr>
        <w:spacing w:after="0" w:line="240" w:lineRule="auto"/>
      </w:pPr>
      <w:r>
        <w:separator/>
      </w:r>
    </w:p>
  </w:footnote>
  <w:footnote w:type="continuationSeparator" w:id="0">
    <w:p w14:paraId="68613C36" w14:textId="77777777" w:rsidR="00FF1C3F" w:rsidRDefault="00FF1C3F" w:rsidP="00A0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99E"/>
    <w:multiLevelType w:val="hybridMultilevel"/>
    <w:tmpl w:val="A7EA5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6"/>
    <w:rsid w:val="000279DE"/>
    <w:rsid w:val="00031BFA"/>
    <w:rsid w:val="0019364B"/>
    <w:rsid w:val="001F1CF6"/>
    <w:rsid w:val="00250B05"/>
    <w:rsid w:val="00284454"/>
    <w:rsid w:val="003076F4"/>
    <w:rsid w:val="003A2025"/>
    <w:rsid w:val="003D2FF1"/>
    <w:rsid w:val="00442BE7"/>
    <w:rsid w:val="00451A91"/>
    <w:rsid w:val="004542B7"/>
    <w:rsid w:val="004858CC"/>
    <w:rsid w:val="004A71F0"/>
    <w:rsid w:val="005127FB"/>
    <w:rsid w:val="0054170F"/>
    <w:rsid w:val="005746CF"/>
    <w:rsid w:val="005A3312"/>
    <w:rsid w:val="005D20BB"/>
    <w:rsid w:val="00611A50"/>
    <w:rsid w:val="00626638"/>
    <w:rsid w:val="00674952"/>
    <w:rsid w:val="00771F76"/>
    <w:rsid w:val="00792C70"/>
    <w:rsid w:val="008A4C04"/>
    <w:rsid w:val="00902645"/>
    <w:rsid w:val="00960F11"/>
    <w:rsid w:val="009C4D02"/>
    <w:rsid w:val="009D4E16"/>
    <w:rsid w:val="00A05153"/>
    <w:rsid w:val="00A209CD"/>
    <w:rsid w:val="00A60FF2"/>
    <w:rsid w:val="00A715D9"/>
    <w:rsid w:val="00AA0CF9"/>
    <w:rsid w:val="00B2285A"/>
    <w:rsid w:val="00B460C8"/>
    <w:rsid w:val="00BB1F5E"/>
    <w:rsid w:val="00BC623C"/>
    <w:rsid w:val="00C43DBB"/>
    <w:rsid w:val="00C70CA7"/>
    <w:rsid w:val="00C81CC9"/>
    <w:rsid w:val="00D257C5"/>
    <w:rsid w:val="00E13E67"/>
    <w:rsid w:val="00E56E21"/>
    <w:rsid w:val="00EB5CD6"/>
    <w:rsid w:val="00EC29EF"/>
    <w:rsid w:val="00F3741F"/>
    <w:rsid w:val="00F47B60"/>
    <w:rsid w:val="00F82D71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50292"/>
  <w15:chartTrackingRefBased/>
  <w15:docId w15:val="{D3CC2D8F-51CB-4B6F-9D1E-284C18E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 w:after="4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F6"/>
    <w:pPr>
      <w:spacing w:before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F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1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F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F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153"/>
  </w:style>
  <w:style w:type="paragraph" w:styleId="Stopka">
    <w:name w:val="footer"/>
    <w:basedOn w:val="Normalny"/>
    <w:link w:val="StopkaZnak"/>
    <w:uiPriority w:val="99"/>
    <w:unhideWhenUsed/>
    <w:rsid w:val="00A0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153"/>
  </w:style>
  <w:style w:type="character" w:styleId="Hipercze">
    <w:name w:val="Hyperlink"/>
    <w:basedOn w:val="Domylnaczcionkaakapitu"/>
    <w:uiPriority w:val="99"/>
    <w:unhideWhenUsed/>
    <w:rsid w:val="00A71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1649/abs.2017.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Sarmiento;Elżbieta Olczak</dc:creator>
  <cp:keywords/>
  <dc:description/>
  <cp:lastModifiedBy>Anna Sarmiento</cp:lastModifiedBy>
  <cp:revision>2</cp:revision>
  <dcterms:created xsi:type="dcterms:W3CDTF">2024-04-17T07:26:00Z</dcterms:created>
  <dcterms:modified xsi:type="dcterms:W3CDTF">2024-04-17T07:26:00Z</dcterms:modified>
</cp:coreProperties>
</file>