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58903F" w14:textId="67490247" w:rsidR="00AC334D" w:rsidRPr="00AC334D" w:rsidRDefault="00AC334D" w:rsidP="009D4EDC">
      <w:pPr>
        <w:spacing w:line="36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AC334D">
        <w:rPr>
          <w:rFonts w:ascii="Times New Roman" w:hAnsi="Times New Roman" w:cs="Times New Roman"/>
          <w:b/>
          <w:color w:val="0070C0"/>
          <w:sz w:val="24"/>
          <w:szCs w:val="24"/>
        </w:rPr>
        <w:t>Satrapie w Persji Dariusza I według greckiego historyka Herodota,</w:t>
      </w:r>
      <w:r w:rsidR="009D4ED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Pr="00AC334D">
        <w:rPr>
          <w:rFonts w:ascii="Times New Roman" w:hAnsi="Times New Roman" w:cs="Times New Roman"/>
          <w:b/>
          <w:color w:val="0070C0"/>
          <w:sz w:val="24"/>
          <w:szCs w:val="24"/>
        </w:rPr>
        <w:t>V w. p.n.e.</w:t>
      </w:r>
    </w:p>
    <w:p w14:paraId="32075F17" w14:textId="77777777" w:rsidR="009D4EDC" w:rsidRDefault="00AC334D" w:rsidP="009D4EDC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334D">
        <w:rPr>
          <w:rFonts w:ascii="Times New Roman" w:hAnsi="Times New Roman" w:cs="Times New Roman"/>
          <w:i/>
          <w:sz w:val="24"/>
          <w:szCs w:val="24"/>
        </w:rPr>
        <w:t>Naprzód więc kazał wykonać i ustawić płaskorzeźbę z kamienia [...] z takim napisem: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C334D">
        <w:rPr>
          <w:rFonts w:ascii="Times New Roman" w:hAnsi="Times New Roman" w:cs="Times New Roman"/>
          <w:i/>
          <w:sz w:val="24"/>
          <w:szCs w:val="24"/>
        </w:rPr>
        <w:t xml:space="preserve">„Dariusz, syn </w:t>
      </w:r>
      <w:proofErr w:type="spellStart"/>
      <w:r w:rsidRPr="00AC334D">
        <w:rPr>
          <w:rFonts w:ascii="Times New Roman" w:hAnsi="Times New Roman" w:cs="Times New Roman"/>
          <w:i/>
          <w:sz w:val="24"/>
          <w:szCs w:val="24"/>
        </w:rPr>
        <w:t>Hystaspesa</w:t>
      </w:r>
      <w:proofErr w:type="spellEnd"/>
      <w:r w:rsidRPr="00AC334D">
        <w:rPr>
          <w:rFonts w:ascii="Times New Roman" w:hAnsi="Times New Roman" w:cs="Times New Roman"/>
          <w:i/>
          <w:sz w:val="24"/>
          <w:szCs w:val="24"/>
        </w:rPr>
        <w:t xml:space="preserve"> [...], posiadł królestwo Persów”. Potem ustanowił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C334D">
        <w:rPr>
          <w:rFonts w:ascii="Times New Roman" w:hAnsi="Times New Roman" w:cs="Times New Roman"/>
          <w:i/>
          <w:sz w:val="24"/>
          <w:szCs w:val="24"/>
        </w:rPr>
        <w:t>w państwie Persów dwadzieścia dzielnic, które oni sami nazywają satrapiami.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C334D">
        <w:rPr>
          <w:rFonts w:ascii="Times New Roman" w:hAnsi="Times New Roman" w:cs="Times New Roman"/>
          <w:i/>
          <w:sz w:val="24"/>
          <w:szCs w:val="24"/>
        </w:rPr>
        <w:t>[...] ustalił daniny, które miały mu wpływać od poszczególnych ludów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C334D">
        <w:rPr>
          <w:rFonts w:ascii="Times New Roman" w:hAnsi="Times New Roman" w:cs="Times New Roman"/>
          <w:i/>
          <w:sz w:val="24"/>
          <w:szCs w:val="24"/>
        </w:rPr>
        <w:t>[...]. [...] corocznie wpływające daniny tak rozdzielił. Tym, którzy płacili srebrem,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C334D">
        <w:rPr>
          <w:rFonts w:ascii="Times New Roman" w:hAnsi="Times New Roman" w:cs="Times New Roman"/>
          <w:i/>
          <w:sz w:val="24"/>
          <w:szCs w:val="24"/>
        </w:rPr>
        <w:t>zapowiedziano, że mają uiszczać talent</w:t>
      </w:r>
      <w:r w:rsidRPr="007B663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AC334D">
        <w:rPr>
          <w:rFonts w:ascii="Times New Roman" w:hAnsi="Times New Roman" w:cs="Times New Roman"/>
          <w:i/>
          <w:sz w:val="24"/>
          <w:szCs w:val="24"/>
        </w:rPr>
        <w:t xml:space="preserve"> według wagi babilońskiej, którzy zaś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C334D">
        <w:rPr>
          <w:rFonts w:ascii="Times New Roman" w:hAnsi="Times New Roman" w:cs="Times New Roman"/>
          <w:i/>
          <w:sz w:val="24"/>
          <w:szCs w:val="24"/>
        </w:rPr>
        <w:t>płacili złotem, mieli uiszczać talent eubejski. [...]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61865CE7" w14:textId="3157F612" w:rsidR="00D71E4D" w:rsidRPr="009D4EDC" w:rsidRDefault="00AC334D" w:rsidP="009D4EDC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334D">
        <w:rPr>
          <w:rFonts w:ascii="Times New Roman" w:hAnsi="Times New Roman" w:cs="Times New Roman"/>
          <w:i/>
          <w:sz w:val="24"/>
          <w:szCs w:val="24"/>
        </w:rPr>
        <w:t>Ta danina napływała Dariuszowi z Azji i z małej części Libii. Lecz z biegiem czasu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C334D">
        <w:rPr>
          <w:rFonts w:ascii="Times New Roman" w:hAnsi="Times New Roman" w:cs="Times New Roman"/>
          <w:i/>
          <w:sz w:val="24"/>
          <w:szCs w:val="24"/>
        </w:rPr>
        <w:t>także z wysp przybywała inna danina i od ludów, które mieszkały w Europie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C334D">
        <w:rPr>
          <w:rFonts w:ascii="Times New Roman" w:hAnsi="Times New Roman" w:cs="Times New Roman"/>
          <w:i/>
          <w:sz w:val="24"/>
          <w:szCs w:val="24"/>
        </w:rPr>
        <w:t>aż do Tesalii. [...] Tylko terytorium perskiego nie wymieniłem jako płacącego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C334D">
        <w:rPr>
          <w:rFonts w:ascii="Times New Roman" w:hAnsi="Times New Roman" w:cs="Times New Roman"/>
          <w:i/>
          <w:sz w:val="24"/>
          <w:szCs w:val="24"/>
        </w:rPr>
        <w:t>podatek; Persowie bowiem zamieszkują kraj wolny od danin. Następujące zaś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C334D">
        <w:rPr>
          <w:rFonts w:ascii="Times New Roman" w:hAnsi="Times New Roman" w:cs="Times New Roman"/>
          <w:i/>
          <w:sz w:val="24"/>
          <w:szCs w:val="24"/>
        </w:rPr>
        <w:t xml:space="preserve">ludy nie były zobowiązane płacić daniny, lecz składały dary: graniczący </w:t>
      </w:r>
      <w:r w:rsidR="009D4EDC">
        <w:rPr>
          <w:rFonts w:ascii="Times New Roman" w:hAnsi="Times New Roman" w:cs="Times New Roman"/>
          <w:i/>
          <w:sz w:val="24"/>
          <w:szCs w:val="24"/>
        </w:rPr>
        <w:br/>
      </w:r>
      <w:r w:rsidRPr="00AC334D">
        <w:rPr>
          <w:rFonts w:ascii="Times New Roman" w:hAnsi="Times New Roman" w:cs="Times New Roman"/>
          <w:i/>
          <w:sz w:val="24"/>
          <w:szCs w:val="24"/>
        </w:rPr>
        <w:t>z Egiptem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C334D">
        <w:rPr>
          <w:rFonts w:ascii="Times New Roman" w:hAnsi="Times New Roman" w:cs="Times New Roman"/>
          <w:i/>
          <w:sz w:val="24"/>
          <w:szCs w:val="24"/>
        </w:rPr>
        <w:t>Etiopowie</w:t>
      </w:r>
      <w:proofErr w:type="spellEnd"/>
      <w:r w:rsidRPr="00AC334D">
        <w:rPr>
          <w:rFonts w:ascii="Times New Roman" w:hAnsi="Times New Roman" w:cs="Times New Roman"/>
          <w:i/>
          <w:sz w:val="24"/>
          <w:szCs w:val="24"/>
        </w:rPr>
        <w:t xml:space="preserve"> [...] oraz ci, którzy mieszkają dookoła świętej Nysy [...], wspólnie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C334D">
        <w:rPr>
          <w:rFonts w:ascii="Times New Roman" w:hAnsi="Times New Roman" w:cs="Times New Roman"/>
          <w:i/>
          <w:sz w:val="24"/>
          <w:szCs w:val="24"/>
        </w:rPr>
        <w:t xml:space="preserve">składali </w:t>
      </w:r>
      <w:r w:rsidR="009D4EDC">
        <w:rPr>
          <w:rFonts w:ascii="Times New Roman" w:hAnsi="Times New Roman" w:cs="Times New Roman"/>
          <w:i/>
          <w:sz w:val="24"/>
          <w:szCs w:val="24"/>
        </w:rPr>
        <w:br/>
      </w:r>
      <w:r w:rsidRPr="00AC334D">
        <w:rPr>
          <w:rFonts w:ascii="Times New Roman" w:hAnsi="Times New Roman" w:cs="Times New Roman"/>
          <w:i/>
          <w:sz w:val="24"/>
          <w:szCs w:val="24"/>
        </w:rPr>
        <w:t>i składają jeszcze za moich czasów co dwa lata dwa chojniksy</w:t>
      </w:r>
      <w:r w:rsidRPr="007B663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  <w:r w:rsidRPr="00AC334D">
        <w:rPr>
          <w:rFonts w:ascii="Times New Roman" w:hAnsi="Times New Roman" w:cs="Times New Roman"/>
          <w:i/>
          <w:sz w:val="24"/>
          <w:szCs w:val="24"/>
        </w:rPr>
        <w:t>nieczyszczonego złota</w:t>
      </w:r>
      <w:r w:rsidR="009D4EDC" w:rsidRPr="007B663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AC334D">
        <w:rPr>
          <w:rFonts w:ascii="Times New Roman" w:hAnsi="Times New Roman" w:cs="Times New Roman"/>
          <w:i/>
          <w:sz w:val="24"/>
          <w:szCs w:val="24"/>
        </w:rPr>
        <w:t>, dwieście pniaków hebanu, pięciu etiopskich chłopców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C334D">
        <w:rPr>
          <w:rFonts w:ascii="Times New Roman" w:hAnsi="Times New Roman" w:cs="Times New Roman"/>
          <w:i/>
          <w:sz w:val="24"/>
          <w:szCs w:val="24"/>
        </w:rPr>
        <w:t>i dwadzieścia wielkich kłów słoniowych. Dalej Kochowie [...], podobnie jak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C334D">
        <w:rPr>
          <w:rFonts w:ascii="Times New Roman" w:hAnsi="Times New Roman" w:cs="Times New Roman"/>
          <w:i/>
          <w:sz w:val="24"/>
          <w:szCs w:val="24"/>
        </w:rPr>
        <w:t>ich sąsiedzi aż do Gór Kaukaskich [...], dostarczali co cztery lata darów, [...] stu</w:t>
      </w:r>
      <w:r w:rsidR="009D4ED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C334D">
        <w:rPr>
          <w:rFonts w:ascii="Times New Roman" w:hAnsi="Times New Roman" w:cs="Times New Roman"/>
          <w:i/>
          <w:sz w:val="24"/>
          <w:szCs w:val="24"/>
        </w:rPr>
        <w:t>chłopców i sto dziewcząt. Arabowie zaś składali co rok tysiąc talentów kadzidła.</w:t>
      </w:r>
      <w:r w:rsidR="00D71E4D" w:rsidRPr="00D71E4D">
        <w:rPr>
          <w:rFonts w:ascii="Times New Roman" w:hAnsi="Times New Roman" w:cs="Times New Roman"/>
        </w:rPr>
        <w:t xml:space="preserve"> </w:t>
      </w:r>
    </w:p>
    <w:p w14:paraId="009C7B29" w14:textId="77777777" w:rsidR="00AC334D" w:rsidRDefault="00AC334D" w:rsidP="009D4EDC">
      <w:pPr>
        <w:spacing w:line="360" w:lineRule="auto"/>
        <w:jc w:val="both"/>
        <w:rPr>
          <w:rFonts w:ascii="Times New Roman" w:hAnsi="Times New Roman" w:cs="Times New Roman"/>
        </w:rPr>
      </w:pPr>
    </w:p>
    <w:p w14:paraId="625A6651" w14:textId="421F6C13" w:rsidR="00AC334D" w:rsidRPr="00AC334D" w:rsidRDefault="009D4EDC" w:rsidP="00A02ECA">
      <w:pPr>
        <w:rPr>
          <w:rFonts w:ascii="Times New Roman" w:hAnsi="Times New Roman" w:cs="Times New Roman"/>
        </w:rPr>
      </w:pPr>
      <w:r w:rsidRPr="009D4EDC"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 xml:space="preserve"> </w:t>
      </w:r>
      <w:r w:rsidR="00AC334D" w:rsidRPr="00AC334D">
        <w:rPr>
          <w:rFonts w:ascii="Times New Roman" w:hAnsi="Times New Roman" w:cs="Times New Roman"/>
        </w:rPr>
        <w:t xml:space="preserve">talent – </w:t>
      </w:r>
      <w:r w:rsidR="00AC334D">
        <w:rPr>
          <w:rFonts w:ascii="Times New Roman" w:hAnsi="Times New Roman" w:cs="Times New Roman"/>
        </w:rPr>
        <w:t>jednostka miary, masy oraz pie</w:t>
      </w:r>
      <w:r w:rsidR="00AC334D" w:rsidRPr="00AC334D">
        <w:rPr>
          <w:rFonts w:ascii="Times New Roman" w:hAnsi="Times New Roman" w:cs="Times New Roman"/>
        </w:rPr>
        <w:t>niądza, używana w starożytności w Asyrii,</w:t>
      </w:r>
      <w:r w:rsidR="00AC334D">
        <w:rPr>
          <w:rFonts w:ascii="Times New Roman" w:hAnsi="Times New Roman" w:cs="Times New Roman"/>
        </w:rPr>
        <w:t xml:space="preserve"> </w:t>
      </w:r>
      <w:r w:rsidR="00AC334D" w:rsidRPr="00AC334D">
        <w:rPr>
          <w:rFonts w:ascii="Times New Roman" w:hAnsi="Times New Roman" w:cs="Times New Roman"/>
        </w:rPr>
        <w:t xml:space="preserve">Babilonie, Grecji </w:t>
      </w:r>
      <w:r>
        <w:rPr>
          <w:rFonts w:ascii="Times New Roman" w:hAnsi="Times New Roman" w:cs="Times New Roman"/>
        </w:rPr>
        <w:br/>
      </w:r>
      <w:r w:rsidR="00AC334D" w:rsidRPr="00AC334D">
        <w:rPr>
          <w:rFonts w:ascii="Times New Roman" w:hAnsi="Times New Roman" w:cs="Times New Roman"/>
        </w:rPr>
        <w:t>i Palestynie; w Mezopotamii</w:t>
      </w:r>
      <w:r w:rsidR="00AC334D">
        <w:rPr>
          <w:rFonts w:ascii="Times New Roman" w:hAnsi="Times New Roman" w:cs="Times New Roman"/>
        </w:rPr>
        <w:t xml:space="preserve"> </w:t>
      </w:r>
      <w:r w:rsidR="00AC334D" w:rsidRPr="00AC334D">
        <w:rPr>
          <w:rFonts w:ascii="Times New Roman" w:hAnsi="Times New Roman" w:cs="Times New Roman"/>
        </w:rPr>
        <w:t>odpowiadała masie ok. 30 kg</w:t>
      </w:r>
    </w:p>
    <w:p w14:paraId="2929C8E4" w14:textId="4A81E0A8" w:rsidR="00AC334D" w:rsidRPr="00AC334D" w:rsidRDefault="009D4EDC" w:rsidP="009D4EDC">
      <w:pPr>
        <w:jc w:val="both"/>
        <w:rPr>
          <w:rFonts w:ascii="Times New Roman" w:hAnsi="Times New Roman" w:cs="Times New Roman"/>
        </w:rPr>
      </w:pPr>
      <w:r w:rsidRPr="009D4EDC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</w:t>
      </w:r>
      <w:proofErr w:type="spellStart"/>
      <w:r w:rsidR="00AC334D" w:rsidRPr="00AC334D">
        <w:rPr>
          <w:rFonts w:ascii="Times New Roman" w:hAnsi="Times New Roman" w:cs="Times New Roman"/>
        </w:rPr>
        <w:t>chojniks</w:t>
      </w:r>
      <w:proofErr w:type="spellEnd"/>
      <w:r w:rsidR="00AC334D" w:rsidRPr="00AC334D">
        <w:rPr>
          <w:rFonts w:ascii="Times New Roman" w:hAnsi="Times New Roman" w:cs="Times New Roman"/>
        </w:rPr>
        <w:t xml:space="preserve"> – jednostka miary pojemności</w:t>
      </w:r>
      <w:r w:rsidR="00AC334D">
        <w:rPr>
          <w:rFonts w:ascii="Times New Roman" w:hAnsi="Times New Roman" w:cs="Times New Roman"/>
        </w:rPr>
        <w:t xml:space="preserve"> </w:t>
      </w:r>
      <w:r w:rsidR="00AC334D" w:rsidRPr="00AC334D">
        <w:rPr>
          <w:rFonts w:ascii="Times New Roman" w:hAnsi="Times New Roman" w:cs="Times New Roman"/>
        </w:rPr>
        <w:t>produktów sypkich w starożytnej Grecji</w:t>
      </w:r>
      <w:r w:rsidR="00AC334D">
        <w:rPr>
          <w:rFonts w:ascii="Times New Roman" w:hAnsi="Times New Roman" w:cs="Times New Roman"/>
        </w:rPr>
        <w:t xml:space="preserve"> </w:t>
      </w:r>
      <w:r w:rsidR="00AC334D" w:rsidRPr="00AC334D">
        <w:rPr>
          <w:rFonts w:ascii="Times New Roman" w:hAnsi="Times New Roman" w:cs="Times New Roman"/>
        </w:rPr>
        <w:t>odpowiadająca 1 litrowi</w:t>
      </w:r>
    </w:p>
    <w:p w14:paraId="0E2D8B32" w14:textId="0DCE65AE" w:rsidR="00AC334D" w:rsidRPr="00D71E4D" w:rsidRDefault="009D4EDC" w:rsidP="009D4EDC">
      <w:pPr>
        <w:jc w:val="both"/>
        <w:rPr>
          <w:rFonts w:ascii="Times New Roman" w:hAnsi="Times New Roman" w:cs="Times New Roman"/>
        </w:rPr>
      </w:pPr>
      <w:r w:rsidRPr="009D4EDC"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 xml:space="preserve"> </w:t>
      </w:r>
      <w:r w:rsidR="00AC334D" w:rsidRPr="00AC334D">
        <w:rPr>
          <w:rFonts w:ascii="Times New Roman" w:hAnsi="Times New Roman" w:cs="Times New Roman"/>
        </w:rPr>
        <w:t>nieczyszczone złoto – złoty pył</w:t>
      </w:r>
    </w:p>
    <w:p w14:paraId="5C475641" w14:textId="77777777" w:rsidR="009D4EDC" w:rsidRDefault="009D4EDC" w:rsidP="00D71E4D">
      <w:pPr>
        <w:ind w:firstLine="708"/>
        <w:jc w:val="right"/>
        <w:rPr>
          <w:rFonts w:ascii="Times New Roman" w:hAnsi="Times New Roman" w:cs="Times New Roman"/>
        </w:rPr>
      </w:pPr>
    </w:p>
    <w:p w14:paraId="7AA6E208" w14:textId="7CB1CBD9" w:rsidR="00D71E4D" w:rsidRPr="009D4EDC" w:rsidRDefault="009D4EDC" w:rsidP="00D71E4D">
      <w:pPr>
        <w:ind w:firstLine="708"/>
        <w:jc w:val="right"/>
        <w:rPr>
          <w:rFonts w:ascii="Times New Roman" w:hAnsi="Times New Roman" w:cs="Times New Roman"/>
        </w:rPr>
      </w:pPr>
      <w:r w:rsidRPr="009D4EDC">
        <w:rPr>
          <w:rFonts w:ascii="Times New Roman" w:hAnsi="Times New Roman" w:cs="Times New Roman"/>
        </w:rPr>
        <w:t xml:space="preserve">Herodot, </w:t>
      </w:r>
      <w:r w:rsidRPr="009D4EDC">
        <w:rPr>
          <w:rFonts w:ascii="Times New Roman" w:hAnsi="Times New Roman" w:cs="Times New Roman"/>
          <w:i/>
          <w:iCs/>
        </w:rPr>
        <w:t>Dzieje</w:t>
      </w:r>
      <w:r w:rsidRPr="009D4EDC">
        <w:rPr>
          <w:rFonts w:ascii="Times New Roman" w:hAnsi="Times New Roman" w:cs="Times New Roman"/>
        </w:rPr>
        <w:t>, przekł. Seweryn Hammer, Warszawa 1959, s. 244, 246, 247.</w:t>
      </w:r>
      <w:r w:rsidR="00D71E4D" w:rsidRPr="009D4EDC">
        <w:rPr>
          <w:rFonts w:ascii="Times New Roman" w:hAnsi="Times New Roman" w:cs="Times New Roman"/>
        </w:rPr>
        <w:t xml:space="preserve"> </w:t>
      </w:r>
    </w:p>
    <w:p w14:paraId="6F3A3E1F" w14:textId="77777777" w:rsidR="00D71E4D" w:rsidRPr="00D71E4D" w:rsidRDefault="00D71E4D" w:rsidP="00D71E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6E16C9" w14:textId="77777777" w:rsidR="00D71E4D" w:rsidRPr="00D71E4D" w:rsidRDefault="00D71E4D" w:rsidP="00D71E4D">
      <w:pPr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bookmarkStart w:id="0" w:name="_Hlk12194903"/>
      <w:r w:rsidRPr="00D71E4D">
        <w:rPr>
          <w:rFonts w:ascii="Times New Roman" w:hAnsi="Times New Roman" w:cs="Times New Roman"/>
          <w:b/>
          <w:color w:val="0070C0"/>
          <w:sz w:val="24"/>
          <w:szCs w:val="24"/>
        </w:rPr>
        <w:t>Praca z tekstem</w:t>
      </w:r>
    </w:p>
    <w:p w14:paraId="474D3E5B" w14:textId="3444A7EC" w:rsidR="00D71E4D" w:rsidRPr="00D71E4D" w:rsidRDefault="00A02ECA" w:rsidP="00A02E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>1</w:t>
      </w:r>
      <w:r w:rsidR="00D71E4D" w:rsidRPr="00D71E4D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. </w:t>
      </w:r>
      <w:r w:rsidR="00D71E4D" w:rsidRPr="00D71E4D">
        <w:rPr>
          <w:rFonts w:ascii="Times New Roman" w:hAnsi="Times New Roman" w:cs="Times New Roman"/>
          <w:sz w:val="24"/>
          <w:szCs w:val="24"/>
        </w:rPr>
        <w:t>Jakie reformy wprowadził Dariusz w swoim państwie?</w:t>
      </w:r>
    </w:p>
    <w:p w14:paraId="69D3B95B" w14:textId="7710D946" w:rsidR="00A02ECA" w:rsidRDefault="00A02ECA" w:rsidP="00A02ECA">
      <w:pPr>
        <w:autoSpaceDE w:val="0"/>
        <w:autoSpaceDN w:val="0"/>
        <w:adjustRightInd w:val="0"/>
        <w:jc w:val="both"/>
        <w:rPr>
          <w:rFonts w:ascii="Times New Roman" w:eastAsia="ApoloniaNovaOT-Bold" w:hAnsi="Times New Roman" w:cs="Times New Roman"/>
          <w:b/>
          <w:bCs/>
          <w:color w:val="1A80CD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>2</w:t>
      </w:r>
      <w:r w:rsidR="00D71E4D" w:rsidRPr="00D71E4D">
        <w:rPr>
          <w:rFonts w:ascii="Times New Roman" w:hAnsi="Times New Roman" w:cs="Times New Roman"/>
          <w:b/>
          <w:color w:val="0070C0"/>
          <w:sz w:val="24"/>
          <w:szCs w:val="24"/>
        </w:rPr>
        <w:t>.</w:t>
      </w:r>
      <w:r w:rsidR="00D71E4D">
        <w:rPr>
          <w:rFonts w:ascii="Times New Roman" w:hAnsi="Times New Roman" w:cs="Times New Roman"/>
          <w:sz w:val="24"/>
          <w:szCs w:val="24"/>
        </w:rPr>
        <w:t xml:space="preserve"> </w:t>
      </w:r>
      <w:r w:rsidR="00D71E4D" w:rsidRPr="00D71E4D">
        <w:rPr>
          <w:rFonts w:ascii="Times New Roman" w:hAnsi="Times New Roman" w:cs="Times New Roman"/>
          <w:sz w:val="24"/>
          <w:szCs w:val="24"/>
        </w:rPr>
        <w:t>Korzystając z wiedzy poz</w:t>
      </w:r>
      <w:r w:rsidR="0086074D">
        <w:rPr>
          <w:rFonts w:ascii="Times New Roman" w:hAnsi="Times New Roman" w:cs="Times New Roman"/>
          <w:sz w:val="24"/>
          <w:szCs w:val="24"/>
        </w:rPr>
        <w:t>a</w:t>
      </w:r>
      <w:r w:rsidR="00C753FD">
        <w:rPr>
          <w:rFonts w:ascii="Times New Roman" w:hAnsi="Times New Roman" w:cs="Times New Roman"/>
          <w:sz w:val="24"/>
          <w:szCs w:val="24"/>
        </w:rPr>
        <w:t>ź</w:t>
      </w:r>
      <w:r w:rsidR="00D71E4D" w:rsidRPr="00D71E4D">
        <w:rPr>
          <w:rFonts w:ascii="Times New Roman" w:hAnsi="Times New Roman" w:cs="Times New Roman"/>
          <w:sz w:val="24"/>
          <w:szCs w:val="24"/>
        </w:rPr>
        <w:t>ródłowej</w:t>
      </w:r>
      <w:r w:rsidR="0086074D">
        <w:rPr>
          <w:rFonts w:ascii="Times New Roman" w:hAnsi="Times New Roman" w:cs="Times New Roman"/>
          <w:sz w:val="24"/>
          <w:szCs w:val="24"/>
        </w:rPr>
        <w:t>,</w:t>
      </w:r>
      <w:r w:rsidR="00D71E4D" w:rsidRPr="00D71E4D">
        <w:rPr>
          <w:rFonts w:ascii="Times New Roman" w:hAnsi="Times New Roman" w:cs="Times New Roman"/>
          <w:sz w:val="24"/>
          <w:szCs w:val="24"/>
        </w:rPr>
        <w:t xml:space="preserve"> odpowiedz</w:t>
      </w:r>
      <w:r w:rsidR="00D71E4D" w:rsidRPr="00D71E4D">
        <w:rPr>
          <w:rFonts w:ascii="Times New Roman" w:hAnsi="Times New Roman" w:cs="Times New Roman"/>
          <w:color w:val="7030A0"/>
          <w:sz w:val="24"/>
          <w:szCs w:val="24"/>
        </w:rPr>
        <w:t>,</w:t>
      </w:r>
      <w:r w:rsidR="00D71E4D" w:rsidRPr="00D71E4D">
        <w:rPr>
          <w:rFonts w:ascii="Times New Roman" w:hAnsi="Times New Roman" w:cs="Times New Roman"/>
          <w:sz w:val="24"/>
          <w:szCs w:val="24"/>
        </w:rPr>
        <w:t xml:space="preserve"> czy ten </w:t>
      </w:r>
      <w:bookmarkStart w:id="1" w:name="_GoBack"/>
      <w:bookmarkEnd w:id="1"/>
      <w:r w:rsidR="00D71E4D" w:rsidRPr="00D71E4D">
        <w:rPr>
          <w:rFonts w:ascii="Times New Roman" w:hAnsi="Times New Roman" w:cs="Times New Roman"/>
          <w:sz w:val="24"/>
          <w:szCs w:val="24"/>
        </w:rPr>
        <w:t xml:space="preserve">sposób zarządzania państwem </w:t>
      </w:r>
      <w:r w:rsidRPr="00D71E4D">
        <w:rPr>
          <w:rFonts w:ascii="Times New Roman" w:hAnsi="Times New Roman" w:cs="Times New Roman"/>
          <w:sz w:val="24"/>
          <w:szCs w:val="24"/>
        </w:rPr>
        <w:t>się</w:t>
      </w:r>
      <w:r w:rsidRPr="00D71E4D">
        <w:rPr>
          <w:rFonts w:ascii="Times New Roman" w:hAnsi="Times New Roman" w:cs="Times New Roman"/>
          <w:sz w:val="24"/>
          <w:szCs w:val="24"/>
        </w:rPr>
        <w:t xml:space="preserve"> </w:t>
      </w:r>
      <w:r w:rsidR="00D71E4D" w:rsidRPr="00D71E4D">
        <w:rPr>
          <w:rFonts w:ascii="Times New Roman" w:hAnsi="Times New Roman" w:cs="Times New Roman"/>
          <w:sz w:val="24"/>
          <w:szCs w:val="24"/>
        </w:rPr>
        <w:t>sprawdził? Uzasadnij odpowiedź.</w:t>
      </w:r>
      <w:r w:rsidRPr="00A02ECA">
        <w:rPr>
          <w:rFonts w:ascii="Times New Roman" w:eastAsia="ApoloniaNovaOT-Bold" w:hAnsi="Times New Roman" w:cs="Times New Roman"/>
          <w:b/>
          <w:bCs/>
          <w:color w:val="1A80CD"/>
          <w:sz w:val="24"/>
          <w:szCs w:val="24"/>
        </w:rPr>
        <w:t xml:space="preserve"> </w:t>
      </w:r>
    </w:p>
    <w:p w14:paraId="33A9031C" w14:textId="53C4CB29" w:rsidR="00A02ECA" w:rsidRPr="005A0AD1" w:rsidRDefault="00A02ECA" w:rsidP="00A02ECA">
      <w:pPr>
        <w:autoSpaceDE w:val="0"/>
        <w:autoSpaceDN w:val="0"/>
        <w:adjustRightInd w:val="0"/>
        <w:jc w:val="both"/>
        <w:rPr>
          <w:rFonts w:ascii="Times New Roman" w:eastAsia="ApoloniaNovaOT-Bold" w:hAnsi="Times New Roman" w:cs="Times New Roman"/>
          <w:b/>
          <w:bCs/>
          <w:color w:val="1A80CD"/>
          <w:sz w:val="24"/>
          <w:szCs w:val="24"/>
        </w:rPr>
      </w:pPr>
      <w:r>
        <w:rPr>
          <w:rFonts w:ascii="Times New Roman" w:eastAsia="ApoloniaNovaOT-Bold" w:hAnsi="Times New Roman" w:cs="Times New Roman"/>
          <w:b/>
          <w:bCs/>
          <w:color w:val="1A80CD"/>
          <w:sz w:val="24"/>
          <w:szCs w:val="24"/>
        </w:rPr>
        <w:t>3</w:t>
      </w:r>
      <w:r w:rsidRPr="005A0AD1">
        <w:rPr>
          <w:rFonts w:ascii="Times New Roman" w:eastAsia="ApoloniaNovaOT-Bold" w:hAnsi="Times New Roman" w:cs="Times New Roman"/>
          <w:b/>
          <w:bCs/>
          <w:color w:val="1A80CD"/>
          <w:sz w:val="24"/>
          <w:szCs w:val="24"/>
        </w:rPr>
        <w:t xml:space="preserve">. </w:t>
      </w:r>
      <w:r w:rsidRPr="005A0AD1">
        <w:rPr>
          <w:rFonts w:ascii="Times New Roman" w:eastAsia="ApoloniaNovaOT-Bold" w:hAnsi="Times New Roman" w:cs="Times New Roman"/>
          <w:color w:val="000000"/>
          <w:sz w:val="24"/>
          <w:szCs w:val="24"/>
        </w:rPr>
        <w:t xml:space="preserve">Podaj, na ile satrapii Dariusz podzielił swoje imperium. </w:t>
      </w:r>
    </w:p>
    <w:p w14:paraId="75E91765" w14:textId="77777777" w:rsidR="00A02ECA" w:rsidRPr="005A0AD1" w:rsidRDefault="00A02ECA" w:rsidP="00A02ECA">
      <w:pPr>
        <w:autoSpaceDE w:val="0"/>
        <w:autoSpaceDN w:val="0"/>
        <w:adjustRightInd w:val="0"/>
        <w:jc w:val="both"/>
        <w:rPr>
          <w:rFonts w:ascii="Times New Roman" w:eastAsia="ApoloniaNovaOT-Bold" w:hAnsi="Times New Roman" w:cs="Times New Roman"/>
          <w:b/>
          <w:bCs/>
          <w:color w:val="1A80CD"/>
          <w:sz w:val="24"/>
          <w:szCs w:val="24"/>
        </w:rPr>
      </w:pPr>
      <w:r>
        <w:rPr>
          <w:rFonts w:ascii="Times New Roman" w:eastAsia="ApoloniaNovaOT-Bold" w:hAnsi="Times New Roman" w:cs="Times New Roman"/>
          <w:b/>
          <w:bCs/>
          <w:color w:val="1A80CD"/>
          <w:sz w:val="24"/>
          <w:szCs w:val="24"/>
        </w:rPr>
        <w:t>4</w:t>
      </w:r>
      <w:r w:rsidRPr="005A0AD1">
        <w:rPr>
          <w:rFonts w:ascii="Times New Roman" w:eastAsia="ApoloniaNovaOT-Bold" w:hAnsi="Times New Roman" w:cs="Times New Roman"/>
          <w:b/>
          <w:bCs/>
          <w:color w:val="1A80CD"/>
          <w:sz w:val="24"/>
          <w:szCs w:val="24"/>
        </w:rPr>
        <w:t xml:space="preserve">. </w:t>
      </w:r>
      <w:r w:rsidRPr="005A0AD1">
        <w:rPr>
          <w:rFonts w:ascii="Times New Roman" w:eastAsia="ApoloniaNovaOT-Bold" w:hAnsi="Times New Roman" w:cs="Times New Roman"/>
          <w:color w:val="000000"/>
          <w:sz w:val="24"/>
          <w:szCs w:val="24"/>
        </w:rPr>
        <w:t xml:space="preserve">Określ, jakiego rodzaju daniny ciążyły na poddanych króla. </w:t>
      </w:r>
    </w:p>
    <w:p w14:paraId="0A336FD0" w14:textId="77777777" w:rsidR="00A02ECA" w:rsidRPr="005A0AD1" w:rsidRDefault="00A02ECA" w:rsidP="00A02ECA">
      <w:pPr>
        <w:autoSpaceDE w:val="0"/>
        <w:autoSpaceDN w:val="0"/>
        <w:adjustRightInd w:val="0"/>
        <w:jc w:val="both"/>
        <w:rPr>
          <w:rFonts w:ascii="Times New Roman" w:eastAsia="ApoloniaNovaOT-Bold" w:hAnsi="Times New Roman" w:cs="Times New Roman"/>
          <w:b/>
          <w:bCs/>
          <w:color w:val="1A80CD"/>
          <w:sz w:val="24"/>
          <w:szCs w:val="24"/>
        </w:rPr>
      </w:pPr>
      <w:r>
        <w:rPr>
          <w:rFonts w:ascii="Times New Roman" w:eastAsia="ApoloniaNovaOT-Bold" w:hAnsi="Times New Roman" w:cs="Times New Roman"/>
          <w:b/>
          <w:bCs/>
          <w:color w:val="1A80CD"/>
          <w:sz w:val="24"/>
          <w:szCs w:val="24"/>
        </w:rPr>
        <w:t>5</w:t>
      </w:r>
      <w:r w:rsidRPr="005A0AD1">
        <w:rPr>
          <w:rFonts w:ascii="Times New Roman" w:eastAsia="ApoloniaNovaOT-Bold" w:hAnsi="Times New Roman" w:cs="Times New Roman"/>
          <w:b/>
          <w:bCs/>
          <w:color w:val="1A80CD"/>
          <w:sz w:val="24"/>
          <w:szCs w:val="24"/>
        </w:rPr>
        <w:t xml:space="preserve">. </w:t>
      </w:r>
      <w:r w:rsidRPr="005A0AD1">
        <w:rPr>
          <w:rFonts w:ascii="Times New Roman" w:eastAsia="ApoloniaNovaOT-Bold" w:hAnsi="Times New Roman" w:cs="Times New Roman"/>
          <w:color w:val="000000"/>
          <w:sz w:val="24"/>
          <w:szCs w:val="24"/>
        </w:rPr>
        <w:t xml:space="preserve">Wskaż, który kraj nie musiał uiszczać królowi danin. </w:t>
      </w:r>
    </w:p>
    <w:p w14:paraId="2606CA36" w14:textId="0A05CAD9" w:rsidR="00D71E4D" w:rsidRPr="00D71E4D" w:rsidRDefault="00A02ECA" w:rsidP="00A02E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poloniaNovaOT-Bold" w:hAnsi="Times New Roman" w:cs="Times New Roman"/>
          <w:b/>
          <w:bCs/>
          <w:color w:val="1A80CD"/>
          <w:sz w:val="24"/>
          <w:szCs w:val="24"/>
        </w:rPr>
        <w:t>6</w:t>
      </w:r>
      <w:r w:rsidRPr="005A0AD1">
        <w:rPr>
          <w:rFonts w:ascii="Times New Roman" w:eastAsia="ApoloniaNovaOT-Bold" w:hAnsi="Times New Roman" w:cs="Times New Roman"/>
          <w:b/>
          <w:bCs/>
          <w:color w:val="1A80CD"/>
          <w:sz w:val="24"/>
          <w:szCs w:val="24"/>
        </w:rPr>
        <w:t xml:space="preserve">. </w:t>
      </w:r>
      <w:r w:rsidRPr="005A0AD1">
        <w:rPr>
          <w:rFonts w:ascii="Times New Roman" w:eastAsia="ApoloniaNovaOT-Bold" w:hAnsi="Times New Roman" w:cs="Times New Roman"/>
          <w:color w:val="000000"/>
          <w:sz w:val="24"/>
          <w:szCs w:val="24"/>
        </w:rPr>
        <w:t>Podaj przykłady darów ofiarowywanych Dariuszowi przez podbite ludy.</w:t>
      </w:r>
      <w:bookmarkEnd w:id="0"/>
    </w:p>
    <w:p w14:paraId="6D884B5D" w14:textId="77777777" w:rsidR="00F20099" w:rsidRPr="00D71E4D" w:rsidRDefault="00F20099" w:rsidP="00D71E4D">
      <w:pPr>
        <w:rPr>
          <w:rFonts w:ascii="Times New Roman" w:hAnsi="Times New Roman" w:cs="Times New Roman"/>
          <w:sz w:val="24"/>
          <w:szCs w:val="24"/>
        </w:rPr>
      </w:pPr>
    </w:p>
    <w:sectPr w:rsidR="00F20099" w:rsidRPr="00D71E4D" w:rsidSect="00AC334D">
      <w:foot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DD92A3" w14:textId="77777777" w:rsidR="00D71E4D" w:rsidRDefault="00D71E4D" w:rsidP="00D71E4D">
      <w:pPr>
        <w:spacing w:after="0" w:line="240" w:lineRule="auto"/>
      </w:pPr>
      <w:r>
        <w:separator/>
      </w:r>
    </w:p>
  </w:endnote>
  <w:endnote w:type="continuationSeparator" w:id="0">
    <w:p w14:paraId="1685DC60" w14:textId="77777777" w:rsidR="00D71E4D" w:rsidRDefault="00D71E4D" w:rsidP="00D71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oloniaNovaOT-Bold">
    <w:altName w:val="MS Gothic"/>
    <w:panose1 w:val="00000000000000000000"/>
    <w:charset w:val="80"/>
    <w:family w:val="swiss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AF5D60" w14:textId="77777777" w:rsidR="00D71E4D" w:rsidRDefault="00D71E4D">
    <w:pPr>
      <w:pStyle w:val="Stopka"/>
    </w:pPr>
    <w:r>
      <w:ptab w:relativeTo="margin" w:alignment="center" w:leader="none"/>
    </w:r>
    <w:r w:rsidRPr="00D90954">
      <w:rPr>
        <w:noProof/>
        <w:lang w:eastAsia="pl-PL"/>
      </w:rPr>
      <w:drawing>
        <wp:inline distT="0" distB="0" distL="0" distR="0" wp14:anchorId="7293F28A" wp14:editId="30CC885F">
          <wp:extent cx="3771900" cy="390525"/>
          <wp:effectExtent l="0" t="0" r="0" b="9525"/>
          <wp:docPr id="4" name="Obraz 4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A81A9C" w14:textId="77777777" w:rsidR="00D71E4D" w:rsidRDefault="00D71E4D" w:rsidP="00D71E4D">
      <w:pPr>
        <w:spacing w:after="0" w:line="240" w:lineRule="auto"/>
      </w:pPr>
      <w:r>
        <w:separator/>
      </w:r>
    </w:p>
  </w:footnote>
  <w:footnote w:type="continuationSeparator" w:id="0">
    <w:p w14:paraId="7C19AF00" w14:textId="77777777" w:rsidR="00D71E4D" w:rsidRDefault="00D71E4D" w:rsidP="00D71E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C2023F"/>
    <w:multiLevelType w:val="hybridMultilevel"/>
    <w:tmpl w:val="75E07624"/>
    <w:lvl w:ilvl="0" w:tplc="149646D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E4D"/>
    <w:rsid w:val="007B6631"/>
    <w:rsid w:val="0086074D"/>
    <w:rsid w:val="009D4EDC"/>
    <w:rsid w:val="00A02ECA"/>
    <w:rsid w:val="00AC334D"/>
    <w:rsid w:val="00C753FD"/>
    <w:rsid w:val="00D71E4D"/>
    <w:rsid w:val="00F20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08AA2"/>
  <w15:chartTrackingRefBased/>
  <w15:docId w15:val="{565B8522-4923-43C8-9702-DB64F489B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1E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1E4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71E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E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E4D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1E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1E4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71E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1E4D"/>
  </w:style>
  <w:style w:type="paragraph" w:styleId="Stopka">
    <w:name w:val="footer"/>
    <w:basedOn w:val="Normalny"/>
    <w:link w:val="StopkaZnak"/>
    <w:uiPriority w:val="99"/>
    <w:unhideWhenUsed/>
    <w:rsid w:val="00D71E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1E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Olczak</dc:creator>
  <cp:keywords/>
  <dc:description/>
  <cp:lastModifiedBy>Anna Sarmiento</cp:lastModifiedBy>
  <cp:revision>2</cp:revision>
  <dcterms:created xsi:type="dcterms:W3CDTF">2023-09-05T10:58:00Z</dcterms:created>
  <dcterms:modified xsi:type="dcterms:W3CDTF">2023-09-05T10:58:00Z</dcterms:modified>
</cp:coreProperties>
</file>