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16" w:rsidRDefault="00FA0216"/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FA0216"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FA0216" w:rsidRDefault="00F95758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26. Życie codzienne w Europie wczesnonowożytnej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FA0216" w:rsidRDefault="00F95758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ROZSZERZONY</w:t>
            </w:r>
          </w:p>
        </w:tc>
      </w:tr>
    </w:tbl>
    <w:p w:rsidR="00FA0216" w:rsidRDefault="00F95758">
      <w:pPr>
        <w:spacing w:before="120"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>Grupa A</w:t>
      </w:r>
    </w:p>
    <w:p w:rsidR="00FA0216" w:rsidRDefault="00FA0216">
      <w:pPr>
        <w:spacing w:after="0" w:line="276" w:lineRule="auto"/>
        <w:jc w:val="center"/>
        <w:rPr>
          <w:rFonts w:ascii="Times New Roman" w:hAnsi="Times New Roman"/>
        </w:rPr>
      </w:pPr>
    </w:p>
    <w:p w:rsidR="00FA0216" w:rsidRDefault="00F95758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Ustal, czy poniższe zdania są prawdziwe czy fałszywe. Wpisz do tabeli litery P lub F.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643"/>
        <w:gridCol w:w="419"/>
      </w:tblGrid>
      <w:tr w:rsidR="00FA0216">
        <w:tc>
          <w:tcPr>
            <w:tcW w:w="8642" w:type="dxa"/>
          </w:tcPr>
          <w:p w:rsidR="00FA0216" w:rsidRDefault="00F9575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Pierwszy wyrok śmierci za uprawianie czarów zapadł na ziemiach polskich w 1476 r. </w:t>
            </w:r>
          </w:p>
        </w:tc>
        <w:tc>
          <w:tcPr>
            <w:tcW w:w="419" w:type="dxa"/>
          </w:tcPr>
          <w:p w:rsidR="00FA0216" w:rsidRDefault="00FA0216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FA0216">
        <w:tc>
          <w:tcPr>
            <w:tcW w:w="8642" w:type="dxa"/>
          </w:tcPr>
          <w:p w:rsidR="00FA0216" w:rsidRDefault="00F9575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Jerzy Franciszek Kulczycki założył pierwszą kawiarnię w Wiedniu. </w:t>
            </w:r>
          </w:p>
        </w:tc>
        <w:tc>
          <w:tcPr>
            <w:tcW w:w="419" w:type="dxa"/>
          </w:tcPr>
          <w:p w:rsidR="00FA0216" w:rsidRDefault="00FA0216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FA0216">
        <w:tc>
          <w:tcPr>
            <w:tcW w:w="8642" w:type="dxa"/>
          </w:tcPr>
          <w:p w:rsidR="00FA0216" w:rsidRDefault="00F9575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W końcu XVI w. opieką nad żebrakami zajęły się rady miejskie. </w:t>
            </w:r>
          </w:p>
        </w:tc>
        <w:tc>
          <w:tcPr>
            <w:tcW w:w="419" w:type="dxa"/>
          </w:tcPr>
          <w:p w:rsidR="00FA0216" w:rsidRDefault="00FA0216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:rsidR="00FA0216" w:rsidRDefault="00FA0216">
      <w:pPr>
        <w:spacing w:after="0" w:line="276" w:lineRule="auto"/>
        <w:rPr>
          <w:rFonts w:ascii="Times New Roman" w:hAnsi="Times New Roman"/>
          <w:b/>
        </w:rPr>
      </w:pPr>
    </w:p>
    <w:p w:rsidR="00FA0216" w:rsidRDefault="00F95758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Wyjaśnij, jaki stosunek do higieny mieli mieszkańcy Europy wczesnonowożytnej.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A0216">
      <w:pPr>
        <w:spacing w:after="0" w:line="276" w:lineRule="auto"/>
        <w:rPr>
          <w:rFonts w:ascii="Times New Roman" w:hAnsi="Times New Roman"/>
        </w:rPr>
      </w:pPr>
    </w:p>
    <w:p w:rsidR="00FA0216" w:rsidRDefault="00F95758">
      <w:p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Przeczytaj tekst źródłowy, a następnie wyjaśnij, dlaczego w małej epoce lodowcowej zwiększyła się liczba procesów o czary. Skorzystaj także z wiedzy pozaźródłowej. </w:t>
      </w:r>
    </w:p>
    <w:p w:rsidR="00FA0216" w:rsidRDefault="00F95758">
      <w:pPr>
        <w:suppressAutoHyphens w:val="0"/>
        <w:spacing w:after="0" w:line="240" w:lineRule="auto"/>
        <w:jc w:val="center"/>
        <w:rPr>
          <w:rFonts w:ascii="Times New Roman" w:eastAsia="ApoloniaNovaLekkaOT-Italic" w:hAnsi="Times New Roman"/>
          <w:iCs/>
        </w:rPr>
      </w:pPr>
      <w:r>
        <w:rPr>
          <w:rFonts w:ascii="Times New Roman" w:eastAsia="ApoloniaNovaLekkaOT-Italic" w:hAnsi="Times New Roman"/>
          <w:iCs/>
        </w:rPr>
        <w:t>Wpływ klimatu na polowania na czarownice</w:t>
      </w:r>
    </w:p>
    <w:p w:rsidR="00FA0216" w:rsidRDefault="00F95758">
      <w:pPr>
        <w:suppressAutoHyphens w:val="0"/>
        <w:spacing w:after="0" w:line="240" w:lineRule="auto"/>
        <w:jc w:val="both"/>
        <w:rPr>
          <w:rFonts w:ascii="Times New Roman" w:eastAsia="ApoloniaNovaLekkaOT-Italic" w:hAnsi="Times New Roman"/>
          <w:i/>
          <w:iCs/>
        </w:rPr>
      </w:pPr>
      <w:r>
        <w:rPr>
          <w:rFonts w:ascii="Times New Roman" w:eastAsia="ApoloniaNovaLekkaOT-Italic" w:hAnsi="Times New Roman"/>
          <w:i/>
          <w:iCs/>
        </w:rPr>
        <w:t>Historyk Wolfgang Behringer przebadał europejskie procesy czarownic i znalazł związek między kulminacjami prześladowań a „łącznymi okresami mrozów” w latach 1560–1574, 1583–1589, 1623–1630 i</w:t>
      </w:r>
      <w:r w:rsidR="008B1A4C">
        <w:rPr>
          <w:rFonts w:ascii="Times New Roman" w:eastAsia="ApoloniaNovaLekkaOT-Italic" w:hAnsi="Times New Roman"/>
          <w:i/>
          <w:iCs/>
        </w:rPr>
        <w:t> </w:t>
      </w:r>
      <w:bookmarkStart w:id="0" w:name="_GoBack"/>
      <w:bookmarkEnd w:id="0"/>
      <w:r>
        <w:rPr>
          <w:rFonts w:ascii="Times New Roman" w:eastAsia="ApoloniaNovaLekkaOT-Italic" w:hAnsi="Times New Roman"/>
          <w:i/>
          <w:iCs/>
        </w:rPr>
        <w:t>1678–1698. Począwszy od 1730 roku, klimat się ustabilizował, podobnie jak nastroje. Pojedyncze procesy czarownic zdarzały się w Europie Środkowej do lat siedemdziesiątych XVIII wieku, ale już nie na taką skalę jak u szczytu małej epoki lodowcowej.</w:t>
      </w:r>
    </w:p>
    <w:p w:rsidR="00FA0216" w:rsidRDefault="00F95758">
      <w:pPr>
        <w:suppressAutoHyphens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L. Lee, </w:t>
      </w:r>
      <w:r>
        <w:rPr>
          <w:rFonts w:ascii="Times New Roman" w:eastAsia="ApoloniaNovaLekkaOT-Italic" w:hAnsi="Times New Roman"/>
          <w:i/>
          <w:iCs/>
          <w:sz w:val="20"/>
          <w:szCs w:val="20"/>
        </w:rPr>
        <w:t>Gdyby nie pogoda... Jak pogoda zmieniała historię</w:t>
      </w:r>
      <w:r>
        <w:rPr>
          <w:rFonts w:ascii="Times New Roman" w:hAnsi="Times New Roman"/>
          <w:sz w:val="20"/>
          <w:szCs w:val="20"/>
        </w:rPr>
        <w:t>, przeł. K. Bażyńska-Chojnacka i P. Chojnacki,</w:t>
      </w:r>
      <w:r>
        <w:rPr>
          <w:rFonts w:ascii="Times New Roman" w:hAnsi="Times New Roman"/>
          <w:sz w:val="20"/>
          <w:szCs w:val="20"/>
        </w:rPr>
        <w:br/>
        <w:t xml:space="preserve"> Warszawa: Demart, 2010, s. 122–125.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A021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FA0216" w:rsidRDefault="00FA021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FA0216" w:rsidRDefault="00FA021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FA0216" w:rsidRDefault="00FA021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FA0216" w:rsidRDefault="00FA021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FA0216" w:rsidRDefault="00FA021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FA0216" w:rsidRDefault="00FA021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FA0216" w:rsidRDefault="00FA021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FA0216" w:rsidRDefault="00FA021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FA0216" w:rsidRDefault="00FA021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FA0216" w:rsidRDefault="00FA021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FA0216" w:rsidRDefault="00FA021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FA0216" w:rsidRDefault="00F9575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8101330</wp:posOffset>
            </wp:positionV>
            <wp:extent cx="3128010" cy="323850"/>
            <wp:effectExtent l="0" t="0" r="0" b="0"/>
            <wp:wrapTopAndBottom/>
            <wp:docPr id="1" name="Obraz 1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A0216" w:rsidRDefault="00FA021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FA0216" w:rsidRDefault="00FA0216">
      <w:pPr>
        <w:spacing w:after="0" w:line="276" w:lineRule="auto"/>
        <w:rPr>
          <w:rFonts w:ascii="Times New Roman" w:hAnsi="Times New Roman"/>
        </w:rPr>
      </w:pPr>
    </w:p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FA0216"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FA0216" w:rsidRDefault="00F95758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26. Życie codzienne w Europie wczesnonowożytnej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FA0216" w:rsidRDefault="00F95758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ROZSZERZONY</w:t>
            </w:r>
          </w:p>
        </w:tc>
      </w:tr>
    </w:tbl>
    <w:p w:rsidR="00FA0216" w:rsidRDefault="00F95758">
      <w:pPr>
        <w:spacing w:before="120"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>Grupa B</w:t>
      </w:r>
    </w:p>
    <w:p w:rsidR="00FA0216" w:rsidRDefault="00FA0216">
      <w:pPr>
        <w:spacing w:after="0" w:line="276" w:lineRule="auto"/>
        <w:jc w:val="center"/>
        <w:rPr>
          <w:rFonts w:ascii="Times New Roman" w:hAnsi="Times New Roman"/>
        </w:rPr>
      </w:pPr>
    </w:p>
    <w:p w:rsidR="00FA0216" w:rsidRDefault="00F95758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Ustal, czy poniższe zdania są prawdziwe czy fałszywe. Wpisz do tabeli litery P lub F.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643"/>
        <w:gridCol w:w="419"/>
      </w:tblGrid>
      <w:tr w:rsidR="00FA0216">
        <w:tc>
          <w:tcPr>
            <w:tcW w:w="8642" w:type="dxa"/>
          </w:tcPr>
          <w:p w:rsidR="00FA0216" w:rsidRDefault="00F9575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Pierwszą osobę w Polsce spalono na stosie za czary w roku 1511.</w:t>
            </w:r>
          </w:p>
        </w:tc>
        <w:tc>
          <w:tcPr>
            <w:tcW w:w="419" w:type="dxa"/>
          </w:tcPr>
          <w:p w:rsidR="00FA0216" w:rsidRDefault="00FA0216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FA0216">
        <w:tc>
          <w:tcPr>
            <w:tcW w:w="8642" w:type="dxa"/>
          </w:tcPr>
          <w:p w:rsidR="00FA0216" w:rsidRDefault="00F9575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Holendrzy sprowadzili do Europy herbatę w 1610 r.</w:t>
            </w:r>
          </w:p>
        </w:tc>
        <w:tc>
          <w:tcPr>
            <w:tcW w:w="419" w:type="dxa"/>
          </w:tcPr>
          <w:p w:rsidR="00FA0216" w:rsidRDefault="00FA0216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FA0216">
        <w:tc>
          <w:tcPr>
            <w:tcW w:w="8642" w:type="dxa"/>
          </w:tcPr>
          <w:p w:rsidR="00FA0216" w:rsidRDefault="00F9575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Pierwszy teatr w Europie powstał w Londynie za czasów Henryka VIII.</w:t>
            </w:r>
          </w:p>
        </w:tc>
        <w:tc>
          <w:tcPr>
            <w:tcW w:w="419" w:type="dxa"/>
          </w:tcPr>
          <w:p w:rsidR="00FA0216" w:rsidRDefault="00FA0216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:rsidR="00FA0216" w:rsidRDefault="00FA0216">
      <w:pPr>
        <w:spacing w:line="276" w:lineRule="auto"/>
      </w:pPr>
    </w:p>
    <w:p w:rsidR="00FA0216" w:rsidRDefault="00F95758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Scharakteryzuj zmianę położenia kobiet w XV i XVI w.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A021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FA0216" w:rsidRDefault="00F95758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Przeczytaj tekst źródłowy, a następnie opisz krótko, co charakterystycznego autor pamiętnika zaobserwował u paryżan końca XVIII w. i z czego mogło to wynikach. </w:t>
      </w:r>
    </w:p>
    <w:p w:rsidR="00FA0216" w:rsidRDefault="00F95758">
      <w:pPr>
        <w:suppressAutoHyphens w:val="0"/>
        <w:spacing w:after="0" w:line="240" w:lineRule="auto"/>
        <w:jc w:val="center"/>
        <w:rPr>
          <w:rFonts w:ascii="Times New Roman" w:eastAsia="Rasa-Light" w:hAnsi="Times New Roman"/>
        </w:rPr>
      </w:pPr>
      <w:r>
        <w:rPr>
          <w:rFonts w:ascii="Times New Roman" w:eastAsia="Rasa-Light" w:hAnsi="Times New Roman"/>
        </w:rPr>
        <w:t>Życie paryżan końca XVIII w. opisane w pamiętniku Louis-Sébastiena Merciera</w:t>
      </w:r>
    </w:p>
    <w:p w:rsidR="00AF0AA3" w:rsidRDefault="00AF0AA3">
      <w:pPr>
        <w:suppressAutoHyphens w:val="0"/>
        <w:spacing w:after="0" w:line="240" w:lineRule="auto"/>
        <w:jc w:val="both"/>
        <w:rPr>
          <w:rFonts w:ascii="Times New Roman" w:eastAsia="Rasa-Light" w:hAnsi="Times New Roman"/>
          <w:i/>
        </w:rPr>
      </w:pPr>
      <w:r>
        <w:rPr>
          <w:rFonts w:ascii="Times New Roman" w:eastAsia="Rasa-Light" w:hAnsi="Times New Roman"/>
          <w:i/>
        </w:rPr>
        <w:t>Gryzipiórki</w:t>
      </w:r>
      <w:r w:rsidR="001A7866">
        <w:rPr>
          <w:rFonts w:ascii="Times New Roman" w:eastAsia="Rasa-Light" w:hAnsi="Times New Roman"/>
          <w:i/>
        </w:rPr>
        <w:t>*</w:t>
      </w:r>
      <w:r>
        <w:rPr>
          <w:rFonts w:ascii="Times New Roman" w:eastAsia="Rasa-Light" w:hAnsi="Times New Roman"/>
          <w:i/>
        </w:rPr>
        <w:t xml:space="preserve"> z urzędów, muzykusy</w:t>
      </w:r>
      <w:r w:rsidR="001A7866">
        <w:rPr>
          <w:rFonts w:ascii="Times New Roman" w:eastAsia="Rasa-Light" w:hAnsi="Times New Roman"/>
          <w:i/>
        </w:rPr>
        <w:t>*</w:t>
      </w:r>
      <w:r>
        <w:rPr>
          <w:rFonts w:ascii="Times New Roman" w:eastAsia="Rasa-Light" w:hAnsi="Times New Roman"/>
          <w:i/>
        </w:rPr>
        <w:t xml:space="preserve">, </w:t>
      </w:r>
      <w:r w:rsidR="00E62192">
        <w:rPr>
          <w:rFonts w:ascii="Times New Roman" w:eastAsia="Rasa-Light" w:hAnsi="Times New Roman"/>
          <w:i/>
        </w:rPr>
        <w:t>[...]</w:t>
      </w:r>
      <w:r>
        <w:rPr>
          <w:rFonts w:ascii="Times New Roman" w:eastAsia="Rasa-Light" w:hAnsi="Times New Roman"/>
          <w:i/>
        </w:rPr>
        <w:t>, sztycharze</w:t>
      </w:r>
      <w:r w:rsidR="001A7866">
        <w:rPr>
          <w:rFonts w:ascii="Times New Roman" w:eastAsia="Rasa-Light" w:hAnsi="Times New Roman"/>
          <w:i/>
        </w:rPr>
        <w:t>*</w:t>
      </w:r>
      <w:r>
        <w:rPr>
          <w:rFonts w:ascii="Times New Roman" w:eastAsia="Rasa-Light" w:hAnsi="Times New Roman"/>
          <w:i/>
        </w:rPr>
        <w:t>, wierszokleci kupują [sobie] sukno, galony</w:t>
      </w:r>
      <w:r w:rsidR="001A7866">
        <w:rPr>
          <w:rFonts w:ascii="Times New Roman" w:eastAsia="Rasa-Light" w:hAnsi="Times New Roman"/>
          <w:i/>
        </w:rPr>
        <w:t>*</w:t>
      </w:r>
      <w:r>
        <w:rPr>
          <w:rFonts w:ascii="Times New Roman" w:eastAsia="Rasa-Light" w:hAnsi="Times New Roman"/>
          <w:i/>
        </w:rPr>
        <w:t>, a</w:t>
      </w:r>
      <w:r w:rsidR="00E62192">
        <w:rPr>
          <w:rFonts w:ascii="Times New Roman" w:eastAsia="Rasa-Light" w:hAnsi="Times New Roman"/>
          <w:i/>
        </w:rPr>
        <w:t> </w:t>
      </w:r>
      <w:r>
        <w:rPr>
          <w:rFonts w:ascii="Times New Roman" w:eastAsia="Rasa-Light" w:hAnsi="Times New Roman"/>
          <w:i/>
        </w:rPr>
        <w:t>nawet koronki; nie kupują zaś wcale bielizny. Elegant zmienia koszulę raz na dwa tygodnie; koronkowe manszety</w:t>
      </w:r>
      <w:r w:rsidR="001A7866">
        <w:rPr>
          <w:rFonts w:ascii="Times New Roman" w:eastAsia="Rasa-Light" w:hAnsi="Times New Roman"/>
          <w:i/>
        </w:rPr>
        <w:t>*</w:t>
      </w:r>
      <w:r>
        <w:rPr>
          <w:rFonts w:ascii="Times New Roman" w:eastAsia="Rasa-Light" w:hAnsi="Times New Roman"/>
          <w:i/>
        </w:rPr>
        <w:t xml:space="preserve"> przyszywa do brudnej koszuli, a kołnierz przypudrowuje, że aż znać ślady na aksamicie garnituru. Taki to jest przeważnie mieszkaniec Paryża; przede wszystkim opłaca perukarza; ani dnia obejść się nie może bez niego, a praczka zjawia się raz na miesiąc. [...]</w:t>
      </w:r>
    </w:p>
    <w:p w:rsidR="00AF0AA3" w:rsidRDefault="00AF0AA3" w:rsidP="001A7866">
      <w:pPr>
        <w:suppressAutoHyphens w:val="0"/>
        <w:spacing w:after="100" w:line="240" w:lineRule="auto"/>
        <w:jc w:val="both"/>
        <w:rPr>
          <w:rFonts w:ascii="Times New Roman" w:eastAsia="Rasa-Light" w:hAnsi="Times New Roman"/>
          <w:i/>
        </w:rPr>
      </w:pPr>
      <w:r>
        <w:rPr>
          <w:rFonts w:ascii="Times New Roman" w:eastAsia="Rasa-Light" w:hAnsi="Times New Roman"/>
          <w:i/>
        </w:rPr>
        <w:t>Paryżanin, który nie posiada dziesięciu tysięcy liwrów renty, nie posiada zazwyczaj ani prześcieradeł, ani ręczników, ani koszul; ale ma za to zegarek-repetier</w:t>
      </w:r>
      <w:r w:rsidR="001D7D3A">
        <w:rPr>
          <w:rFonts w:ascii="Times New Roman" w:eastAsia="Rasa-Light" w:hAnsi="Times New Roman"/>
          <w:i/>
        </w:rPr>
        <w:t>*</w:t>
      </w:r>
      <w:r>
        <w:rPr>
          <w:rFonts w:ascii="Times New Roman" w:eastAsia="Rasa-Light" w:hAnsi="Times New Roman"/>
          <w:i/>
        </w:rPr>
        <w:t>, zwierciadła, jedwabne pończochy, koronki; [...].</w:t>
      </w:r>
    </w:p>
    <w:p w:rsidR="001A7866" w:rsidRDefault="00E62192" w:rsidP="001A7866">
      <w:pPr>
        <w:suppressAutoHyphens w:val="0"/>
        <w:spacing w:after="0" w:line="240" w:lineRule="auto"/>
        <w:jc w:val="both"/>
        <w:rPr>
          <w:rFonts w:ascii="Times New Roman" w:eastAsia="Rasa-Light" w:hAnsi="Times New Roman"/>
          <w:sz w:val="20"/>
          <w:szCs w:val="20"/>
        </w:rPr>
      </w:pPr>
      <w:r>
        <w:rPr>
          <w:rFonts w:ascii="Times New Roman" w:eastAsia="Rasa-Light" w:hAnsi="Times New Roman"/>
          <w:sz w:val="20"/>
          <w:szCs w:val="20"/>
        </w:rPr>
        <w:t>* gryzipiórek – pracownik biurowy</w:t>
      </w:r>
      <w:r w:rsidR="001A7866">
        <w:rPr>
          <w:rFonts w:ascii="Times New Roman" w:eastAsia="Rasa-Light" w:hAnsi="Times New Roman"/>
          <w:sz w:val="20"/>
          <w:szCs w:val="20"/>
        </w:rPr>
        <w:t xml:space="preserve"> </w:t>
      </w:r>
    </w:p>
    <w:p w:rsidR="001A7866" w:rsidRDefault="00E62192" w:rsidP="001A7866">
      <w:pPr>
        <w:suppressAutoHyphens w:val="0"/>
        <w:spacing w:after="0" w:line="240" w:lineRule="auto"/>
        <w:jc w:val="both"/>
        <w:rPr>
          <w:rFonts w:ascii="Times New Roman" w:eastAsia="Rasa-Light" w:hAnsi="Times New Roman"/>
          <w:sz w:val="20"/>
          <w:szCs w:val="20"/>
        </w:rPr>
      </w:pPr>
      <w:r>
        <w:rPr>
          <w:rFonts w:ascii="Times New Roman" w:eastAsia="Rasa-Light" w:hAnsi="Times New Roman"/>
          <w:sz w:val="20"/>
          <w:szCs w:val="20"/>
        </w:rPr>
        <w:t xml:space="preserve">* muzykus – </w:t>
      </w:r>
      <w:r w:rsidR="001A7866">
        <w:rPr>
          <w:rFonts w:ascii="Times New Roman" w:eastAsia="Rasa-Light" w:hAnsi="Times New Roman"/>
          <w:sz w:val="20"/>
          <w:szCs w:val="20"/>
        </w:rPr>
        <w:t xml:space="preserve">żartobliwie o </w:t>
      </w:r>
      <w:r>
        <w:rPr>
          <w:rFonts w:ascii="Times New Roman" w:eastAsia="Rasa-Light" w:hAnsi="Times New Roman"/>
          <w:sz w:val="20"/>
          <w:szCs w:val="20"/>
        </w:rPr>
        <w:t>muzyk</w:t>
      </w:r>
      <w:r w:rsidR="001A7866">
        <w:rPr>
          <w:rFonts w:ascii="Times New Roman" w:eastAsia="Rasa-Light" w:hAnsi="Times New Roman"/>
          <w:sz w:val="20"/>
          <w:szCs w:val="20"/>
        </w:rPr>
        <w:t xml:space="preserve">u </w:t>
      </w:r>
    </w:p>
    <w:p w:rsidR="001A7866" w:rsidRDefault="001A7866" w:rsidP="001A7866">
      <w:pPr>
        <w:suppressAutoHyphens w:val="0"/>
        <w:spacing w:after="0" w:line="240" w:lineRule="auto"/>
        <w:jc w:val="both"/>
        <w:rPr>
          <w:rFonts w:ascii="Times New Roman" w:eastAsia="Rasa-Light" w:hAnsi="Times New Roman"/>
          <w:sz w:val="20"/>
          <w:szCs w:val="20"/>
        </w:rPr>
      </w:pPr>
      <w:r w:rsidRPr="001A7866">
        <w:rPr>
          <w:rFonts w:ascii="Times New Roman" w:eastAsia="Rasa-Light" w:hAnsi="Times New Roman"/>
          <w:sz w:val="20"/>
          <w:szCs w:val="20"/>
        </w:rPr>
        <w:t xml:space="preserve">* sztycharz – </w:t>
      </w:r>
      <w:r>
        <w:rPr>
          <w:rFonts w:ascii="Times New Roman" w:eastAsia="Rasa-Light" w:hAnsi="Times New Roman"/>
          <w:sz w:val="20"/>
          <w:szCs w:val="20"/>
        </w:rPr>
        <w:t xml:space="preserve">rytownik wykonujący sztychy </w:t>
      </w:r>
    </w:p>
    <w:p w:rsidR="001A7866" w:rsidRDefault="00E62192" w:rsidP="001A7866">
      <w:pPr>
        <w:suppressAutoHyphens w:val="0"/>
        <w:spacing w:after="0" w:line="240" w:lineRule="auto"/>
        <w:jc w:val="both"/>
        <w:rPr>
          <w:rFonts w:ascii="Times New Roman" w:eastAsia="Rasa-Light" w:hAnsi="Times New Roman"/>
          <w:sz w:val="20"/>
          <w:szCs w:val="20"/>
        </w:rPr>
      </w:pPr>
      <w:r w:rsidRPr="00E62192">
        <w:rPr>
          <w:rFonts w:ascii="Times New Roman" w:eastAsia="Rasa-Light" w:hAnsi="Times New Roman"/>
          <w:sz w:val="20"/>
          <w:szCs w:val="20"/>
        </w:rPr>
        <w:t xml:space="preserve">* galony – </w:t>
      </w:r>
      <w:r>
        <w:rPr>
          <w:rFonts w:ascii="Times New Roman" w:eastAsia="Rasa-Light" w:hAnsi="Times New Roman"/>
          <w:sz w:val="20"/>
          <w:szCs w:val="20"/>
        </w:rPr>
        <w:t xml:space="preserve">dekoracyjne </w:t>
      </w:r>
      <w:r w:rsidRPr="00E62192">
        <w:rPr>
          <w:rFonts w:ascii="Times New Roman" w:eastAsia="Rasa-Light" w:hAnsi="Times New Roman"/>
          <w:sz w:val="20"/>
          <w:szCs w:val="20"/>
        </w:rPr>
        <w:t>taśmy służące do obszywania ubrań</w:t>
      </w:r>
      <w:r w:rsidR="001A7866">
        <w:rPr>
          <w:rFonts w:ascii="Times New Roman" w:eastAsia="Rasa-Light" w:hAnsi="Times New Roman"/>
          <w:sz w:val="20"/>
          <w:szCs w:val="20"/>
        </w:rPr>
        <w:t xml:space="preserve"> </w:t>
      </w:r>
    </w:p>
    <w:p w:rsidR="001A7866" w:rsidRDefault="001A7866" w:rsidP="001A7866">
      <w:pPr>
        <w:suppressAutoHyphens w:val="0"/>
        <w:spacing w:after="0" w:line="240" w:lineRule="auto"/>
        <w:jc w:val="both"/>
        <w:rPr>
          <w:rFonts w:ascii="Times New Roman" w:eastAsia="Rasa-Light" w:hAnsi="Times New Roman"/>
          <w:sz w:val="20"/>
          <w:szCs w:val="20"/>
        </w:rPr>
      </w:pPr>
      <w:r>
        <w:rPr>
          <w:rFonts w:ascii="Times New Roman" w:eastAsia="Rasa-Light" w:hAnsi="Times New Roman"/>
          <w:sz w:val="20"/>
          <w:szCs w:val="20"/>
        </w:rPr>
        <w:t xml:space="preserve">* manszet – mankiet </w:t>
      </w:r>
    </w:p>
    <w:p w:rsidR="001A7866" w:rsidRDefault="001A7866" w:rsidP="001A7866">
      <w:pPr>
        <w:suppressAutoHyphens w:val="0"/>
        <w:spacing w:after="0" w:line="240" w:lineRule="auto"/>
        <w:jc w:val="both"/>
        <w:rPr>
          <w:rFonts w:ascii="Times New Roman" w:eastAsia="Rasa-Light" w:hAnsi="Times New Roman"/>
          <w:sz w:val="20"/>
          <w:szCs w:val="20"/>
        </w:rPr>
      </w:pPr>
      <w:r w:rsidRPr="001A7866">
        <w:rPr>
          <w:rFonts w:ascii="Times New Roman" w:eastAsia="Rasa-Light" w:hAnsi="Times New Roman"/>
          <w:sz w:val="20"/>
          <w:szCs w:val="20"/>
        </w:rPr>
        <w:t>* zegarek-repetier – zegarek kieszonkowy</w:t>
      </w:r>
      <w:r>
        <w:rPr>
          <w:rFonts w:ascii="Times New Roman" w:eastAsia="Rasa-Light" w:hAnsi="Times New Roman"/>
          <w:sz w:val="20"/>
          <w:szCs w:val="20"/>
        </w:rPr>
        <w:t xml:space="preserve">  </w:t>
      </w:r>
    </w:p>
    <w:p w:rsidR="00FA0216" w:rsidRDefault="00F95758" w:rsidP="00654683">
      <w:pPr>
        <w:suppressAutoHyphens w:val="0"/>
        <w:spacing w:before="100" w:after="6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Rasa-Light" w:hAnsi="Times New Roman"/>
          <w:sz w:val="20"/>
          <w:szCs w:val="20"/>
        </w:rPr>
        <w:t xml:space="preserve">L.-S. Mercier, </w:t>
      </w:r>
      <w:r>
        <w:rPr>
          <w:rFonts w:ascii="Times New Roman" w:eastAsia="ApoloniaNovaLekkaOT-Italic" w:hAnsi="Times New Roman"/>
          <w:i/>
          <w:iCs/>
          <w:sz w:val="20"/>
          <w:szCs w:val="20"/>
        </w:rPr>
        <w:t>Obraz Paryża</w:t>
      </w:r>
      <w:r>
        <w:rPr>
          <w:rFonts w:ascii="Times New Roman" w:eastAsia="ApoloniaNovaLekkaOT-Italic" w:hAnsi="Times New Roman"/>
          <w:sz w:val="20"/>
          <w:szCs w:val="20"/>
        </w:rPr>
        <w:t>, oprac. i przeł. A. Jakubiszyn-Tatarkiewiczowa, Warszawa: PIW, 1959, s</w:t>
      </w:r>
      <w:r w:rsidRPr="001A7866">
        <w:rPr>
          <w:rFonts w:ascii="Times New Roman" w:eastAsia="ApoloniaNovaLekkaOT-Italic" w:hAnsi="Times New Roman"/>
          <w:sz w:val="20"/>
          <w:szCs w:val="20"/>
        </w:rPr>
        <w:t xml:space="preserve">. </w:t>
      </w:r>
      <w:r w:rsidR="001A7866" w:rsidRPr="001A7866">
        <w:rPr>
          <w:rFonts w:ascii="Times New Roman" w:eastAsia="ApoloniaNovaLekkaOT-Italic" w:hAnsi="Times New Roman"/>
          <w:sz w:val="20"/>
          <w:szCs w:val="20"/>
        </w:rPr>
        <w:t>238</w:t>
      </w:r>
      <w:r w:rsidRPr="001A7866">
        <w:rPr>
          <w:rFonts w:ascii="Times New Roman" w:eastAsia="ApoloniaNovaLekkaOT-Italic" w:hAnsi="Times New Roman"/>
          <w:sz w:val="20"/>
          <w:szCs w:val="20"/>
        </w:rPr>
        <w:t>.</w:t>
      </w:r>
    </w:p>
    <w:p w:rsidR="00FA0216" w:rsidRDefault="00FA0216">
      <w:pPr>
        <w:spacing w:after="0" w:line="276" w:lineRule="auto"/>
        <w:rPr>
          <w:rFonts w:ascii="Times New Roman" w:hAnsi="Times New Roman"/>
        </w:rPr>
      </w:pP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9575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Pr="00E62192" w:rsidRDefault="00F95758" w:rsidP="00E621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A0216" w:rsidRDefault="00FA021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FA0216" w:rsidRDefault="00F957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margin">
              <wp:posOffset>1126490</wp:posOffset>
            </wp:positionH>
            <wp:positionV relativeFrom="margin">
              <wp:align>bottom</wp:align>
            </wp:positionV>
            <wp:extent cx="3128010" cy="323850"/>
            <wp:effectExtent l="0" t="0" r="0" b="0"/>
            <wp:wrapTopAndBottom/>
            <wp:docPr id="2" name="Obraz 2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A0216" w:rsidRDefault="00FA0216">
      <w:pPr>
        <w:spacing w:line="276" w:lineRule="auto"/>
        <w:rPr>
          <w:rFonts w:ascii="Times New Roman" w:hAnsi="Times New Roman"/>
        </w:rPr>
      </w:pPr>
    </w:p>
    <w:p w:rsidR="00FA0216" w:rsidRPr="00197FDA" w:rsidRDefault="00F95758" w:rsidP="00197FDA">
      <w:pPr>
        <w:spacing w:after="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97FDA">
        <w:rPr>
          <w:rFonts w:ascii="Times New Roman" w:hAnsi="Times New Roman"/>
          <w:b/>
          <w:sz w:val="24"/>
          <w:szCs w:val="24"/>
        </w:rPr>
        <w:t>26. Życie codzienne w Europie wczesnonowożytnej</w:t>
      </w:r>
    </w:p>
    <w:p w:rsidR="00FA0216" w:rsidRDefault="00F95758" w:rsidP="00197FDA">
      <w:pPr>
        <w:spacing w:after="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97FDA">
        <w:rPr>
          <w:rFonts w:ascii="Times New Roman" w:hAnsi="Times New Roman"/>
          <w:b/>
          <w:sz w:val="24"/>
          <w:szCs w:val="24"/>
        </w:rPr>
        <w:t>Zakres rozszerzony. Model odpowiedzi</w:t>
      </w:r>
    </w:p>
    <w:tbl>
      <w:tblPr>
        <w:tblStyle w:val="Tabela-Siatka"/>
        <w:tblpPr w:leftFromText="141" w:rightFromText="141" w:vertAnchor="text" w:horzAnchor="margin" w:tblpY="35"/>
        <w:tblW w:w="8992" w:type="dxa"/>
        <w:tblLayout w:type="fixed"/>
        <w:tblLook w:val="04A0" w:firstRow="1" w:lastRow="0" w:firstColumn="1" w:lastColumn="0" w:noHBand="0" w:noVBand="1"/>
      </w:tblPr>
      <w:tblGrid>
        <w:gridCol w:w="497"/>
        <w:gridCol w:w="3578"/>
        <w:gridCol w:w="3578"/>
        <w:gridCol w:w="1339"/>
      </w:tblGrid>
      <w:tr w:rsidR="00FA0216">
        <w:trPr>
          <w:trHeight w:val="311"/>
        </w:trPr>
        <w:tc>
          <w:tcPr>
            <w:tcW w:w="496" w:type="dxa"/>
          </w:tcPr>
          <w:p w:rsidR="00FA0216" w:rsidRDefault="00F9575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Nr</w:t>
            </w:r>
          </w:p>
        </w:tc>
        <w:tc>
          <w:tcPr>
            <w:tcW w:w="3578" w:type="dxa"/>
          </w:tcPr>
          <w:p w:rsidR="00FA0216" w:rsidRDefault="00F9575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Grupa A</w:t>
            </w:r>
          </w:p>
        </w:tc>
        <w:tc>
          <w:tcPr>
            <w:tcW w:w="3578" w:type="dxa"/>
          </w:tcPr>
          <w:p w:rsidR="00FA0216" w:rsidRDefault="00F9575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Grupa B</w:t>
            </w:r>
          </w:p>
        </w:tc>
        <w:tc>
          <w:tcPr>
            <w:tcW w:w="1339" w:type="dxa"/>
          </w:tcPr>
          <w:p w:rsidR="00FA0216" w:rsidRDefault="00F95758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Punktacja</w:t>
            </w:r>
          </w:p>
        </w:tc>
      </w:tr>
      <w:tr w:rsidR="00FA0216" w:rsidTr="00197FDA">
        <w:trPr>
          <w:trHeight w:val="94"/>
        </w:trPr>
        <w:tc>
          <w:tcPr>
            <w:tcW w:w="496" w:type="dxa"/>
          </w:tcPr>
          <w:p w:rsidR="00FA0216" w:rsidRDefault="00F95758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1.</w:t>
            </w:r>
          </w:p>
        </w:tc>
        <w:tc>
          <w:tcPr>
            <w:tcW w:w="3578" w:type="dxa"/>
          </w:tcPr>
          <w:p w:rsidR="00FA0216" w:rsidRDefault="00F9575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P, F, P</w:t>
            </w:r>
          </w:p>
        </w:tc>
        <w:tc>
          <w:tcPr>
            <w:tcW w:w="3578" w:type="dxa"/>
          </w:tcPr>
          <w:p w:rsidR="00FA0216" w:rsidRDefault="00F95758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P, P, F</w:t>
            </w:r>
          </w:p>
        </w:tc>
        <w:tc>
          <w:tcPr>
            <w:tcW w:w="1339" w:type="dxa"/>
          </w:tcPr>
          <w:p w:rsidR="00FA0216" w:rsidRDefault="00F9575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 pkt</w:t>
            </w:r>
          </w:p>
        </w:tc>
      </w:tr>
      <w:tr w:rsidR="00FA0216">
        <w:trPr>
          <w:trHeight w:val="792"/>
        </w:trPr>
        <w:tc>
          <w:tcPr>
            <w:tcW w:w="496" w:type="dxa"/>
          </w:tcPr>
          <w:p w:rsidR="00FA0216" w:rsidRDefault="00F95758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2. </w:t>
            </w:r>
          </w:p>
        </w:tc>
        <w:tc>
          <w:tcPr>
            <w:tcW w:w="3578" w:type="dxa"/>
          </w:tcPr>
          <w:p w:rsidR="00FA0216" w:rsidRDefault="00F9575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np. Europejczycy epoki wczesnonowożytnej nie dbali o higienę. Pod wpływem reformacji (zwłaszcza w Europie Zachodniej) zaczęto zamykać łaźnie publiczne, uważając je za siedlisko rozpusty oraz miejsce szerzenia się chorób wenerycznych. Ludzie myli się bardzo rzadko – powszechne było zażywanie kąpieli tylko kilka razy w roku. Spadła produkcja mydła. </w:t>
            </w:r>
          </w:p>
          <w:p w:rsidR="00FA0216" w:rsidRDefault="00F95758">
            <w:pPr>
              <w:spacing w:after="0"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(lub podobna, merytorycznie poprawna odpowiedź)</w:t>
            </w:r>
          </w:p>
        </w:tc>
        <w:tc>
          <w:tcPr>
            <w:tcW w:w="3578" w:type="dxa"/>
          </w:tcPr>
          <w:p w:rsidR="00FA0216" w:rsidRDefault="00F9575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np. Sytuacja kobiet w XV i XVI w. zmieniała się na gorsze. W miastach pracę kobiet zaczęto postrzegać jako gorszą </w:t>
            </w:r>
            <w:r w:rsidR="00E62192">
              <w:rPr>
                <w:rFonts w:ascii="Times New Roman" w:eastAsia="Calibri" w:hAnsi="Times New Roman"/>
              </w:rPr>
              <w:t>–</w:t>
            </w:r>
            <w:r>
              <w:rPr>
                <w:rFonts w:ascii="Times New Roman" w:eastAsia="Calibri" w:hAnsi="Times New Roman"/>
              </w:rPr>
              <w:t xml:space="preserve"> część produktów można było kupić i nie trzeba było ich wytwarzać w domu. </w:t>
            </w:r>
            <w:r w:rsidR="00E62192">
              <w:rPr>
                <w:rFonts w:ascii="Times New Roman" w:eastAsia="Calibri" w:hAnsi="Times New Roman"/>
              </w:rPr>
              <w:t xml:space="preserve">Kobiety </w:t>
            </w:r>
            <w:r>
              <w:rPr>
                <w:rFonts w:ascii="Times New Roman" w:eastAsia="Calibri" w:hAnsi="Times New Roman"/>
              </w:rPr>
              <w:t>stawały się</w:t>
            </w:r>
            <w:r w:rsidR="00E62192">
              <w:rPr>
                <w:rFonts w:ascii="Times New Roman" w:eastAsia="Calibri" w:hAnsi="Times New Roman"/>
              </w:rPr>
              <w:t xml:space="preserve"> coraz bardziej</w:t>
            </w:r>
            <w:r>
              <w:rPr>
                <w:rFonts w:ascii="Times New Roman" w:eastAsia="Calibri" w:hAnsi="Times New Roman"/>
              </w:rPr>
              <w:t xml:space="preserve"> zależne, m.in. pod względem ekonomicznym, od mężczyzn. </w:t>
            </w:r>
            <w:r w:rsidR="00E62192">
              <w:rPr>
                <w:rFonts w:ascii="Times New Roman" w:eastAsia="Calibri" w:hAnsi="Times New Roman"/>
              </w:rPr>
              <w:t>Z</w:t>
            </w:r>
            <w:r>
              <w:rPr>
                <w:rFonts w:ascii="Times New Roman" w:eastAsia="Calibri" w:hAnsi="Times New Roman"/>
              </w:rPr>
              <w:t xml:space="preserve">aczęto wymagać </w:t>
            </w:r>
            <w:r w:rsidR="00E62192">
              <w:rPr>
                <w:rFonts w:ascii="Times New Roman" w:eastAsia="Calibri" w:hAnsi="Times New Roman"/>
              </w:rPr>
              <w:t xml:space="preserve">od nich </w:t>
            </w:r>
            <w:r>
              <w:rPr>
                <w:rFonts w:ascii="Times New Roman" w:eastAsia="Calibri" w:hAnsi="Times New Roman"/>
              </w:rPr>
              <w:t>nienagannej moralności. W</w:t>
            </w:r>
            <w:r w:rsidR="00E62192">
              <w:rPr>
                <w:rFonts w:ascii="Times New Roman" w:eastAsia="Calibri" w:hAnsi="Times New Roman"/>
              </w:rPr>
              <w:t> </w:t>
            </w:r>
            <w:r>
              <w:rPr>
                <w:rFonts w:ascii="Times New Roman" w:eastAsia="Calibri" w:hAnsi="Times New Roman"/>
              </w:rPr>
              <w:t>sytuacjach towarzyskich nie traktowano ich na równi z</w:t>
            </w:r>
            <w:r w:rsidR="00E62192">
              <w:rPr>
                <w:rFonts w:ascii="Times New Roman" w:eastAsia="Calibri" w:hAnsi="Times New Roman"/>
              </w:rPr>
              <w:t> </w:t>
            </w:r>
            <w:r>
              <w:rPr>
                <w:rFonts w:ascii="Times New Roman" w:eastAsia="Calibri" w:hAnsi="Times New Roman"/>
              </w:rPr>
              <w:t xml:space="preserve">mężczyznami. </w:t>
            </w:r>
            <w:r w:rsidR="00E62192">
              <w:rPr>
                <w:rFonts w:ascii="Times New Roman" w:eastAsia="Calibri" w:hAnsi="Times New Roman"/>
              </w:rPr>
              <w:t xml:space="preserve">Natomiast na </w:t>
            </w:r>
            <w:r>
              <w:rPr>
                <w:rFonts w:ascii="Times New Roman" w:eastAsia="Calibri" w:hAnsi="Times New Roman"/>
              </w:rPr>
              <w:t>wsi</w:t>
            </w:r>
            <w:r w:rsidR="00E62192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kobiety wciąż miały silną pozycję, gdyż odgrywały ważną rolę w prowadzeniu gospodarstw.  </w:t>
            </w:r>
          </w:p>
          <w:p w:rsidR="00FA0216" w:rsidRDefault="00F9575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(lub podobna, merytorycznie poprawna odpowiedź)</w:t>
            </w:r>
          </w:p>
        </w:tc>
        <w:tc>
          <w:tcPr>
            <w:tcW w:w="1339" w:type="dxa"/>
          </w:tcPr>
          <w:p w:rsidR="00FA0216" w:rsidRDefault="00F9575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 pkt</w:t>
            </w:r>
          </w:p>
        </w:tc>
      </w:tr>
      <w:tr w:rsidR="00FA0216">
        <w:trPr>
          <w:trHeight w:val="792"/>
        </w:trPr>
        <w:tc>
          <w:tcPr>
            <w:tcW w:w="496" w:type="dxa"/>
          </w:tcPr>
          <w:p w:rsidR="00FA0216" w:rsidRDefault="00F95758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3.</w:t>
            </w:r>
          </w:p>
        </w:tc>
        <w:tc>
          <w:tcPr>
            <w:tcW w:w="3578" w:type="dxa"/>
          </w:tcPr>
          <w:p w:rsidR="008F59DD" w:rsidRDefault="00F95758" w:rsidP="008F59DD">
            <w:pPr>
              <w:spacing w:after="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np. Epoka lodowcowa negatywnie wpłynęła na warunki życia Europejczyków. Przedłużające się zimy i drastyczne zmiany pogody powodowały mniejsze zbiory oraz wzrost cen żywności</w:t>
            </w:r>
            <w:r w:rsidR="008F59DD" w:rsidRPr="008F59DD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Ludzie nie zdawali sobie sprawy z przyczyn zmian klimatycznych, ale wierzyli w ingerencję diabła i osób, które, parając się czarami, sięgają po diabelskie sztuczki, by wpływać na pogodę. </w:t>
            </w:r>
          </w:p>
          <w:p w:rsidR="00FA0216" w:rsidRDefault="00F95758" w:rsidP="008F59DD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(lub podobna, merytorycznie poprawna odpowiedź)</w:t>
            </w:r>
          </w:p>
        </w:tc>
        <w:tc>
          <w:tcPr>
            <w:tcW w:w="3578" w:type="dxa"/>
          </w:tcPr>
          <w:p w:rsidR="00FA0216" w:rsidRDefault="00F9575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np. Autor pamiętnika zaobserwował u paryżan końca XVIII w. zamiłowanie do blichtru (np. posiadanie zegarka, koronek i</w:t>
            </w:r>
            <w:r w:rsidR="008F59DD">
              <w:rPr>
                <w:rFonts w:ascii="Times New Roman" w:eastAsia="Calibri" w:hAnsi="Times New Roman"/>
              </w:rPr>
              <w:t> </w:t>
            </w:r>
            <w:r>
              <w:rPr>
                <w:rFonts w:ascii="Times New Roman" w:eastAsia="Calibri" w:hAnsi="Times New Roman"/>
              </w:rPr>
              <w:t xml:space="preserve">jedwabi) przy braku dbałości o czystość ubrań, potrzeby posiadania bielizny, korzystania z usług praczek. Mogło to wynikać ze zmian obyczajowych, jakie zaszły w epoce wczesnonowożytnej dotyczących m.in. higieny osobistej. Ówcześni Europejczycy przestali dbać o czystość ciał, zamykano łaźnie publiczne, gdyż uważano je za miejsce rozprzestrzeniania się chorób wenerycznych i siedlisko rozpusty. Wskutek tego kąpieli zażywano zaledwie kilka razy do roku. </w:t>
            </w:r>
          </w:p>
          <w:p w:rsidR="00FA0216" w:rsidRDefault="00F95758">
            <w:pPr>
              <w:spacing w:after="0"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(lub podobna, merytorycznie poprawna odpowiedź)</w:t>
            </w:r>
          </w:p>
        </w:tc>
        <w:tc>
          <w:tcPr>
            <w:tcW w:w="1339" w:type="dxa"/>
          </w:tcPr>
          <w:p w:rsidR="00FA0216" w:rsidRDefault="008F59D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F95758">
              <w:rPr>
                <w:rFonts w:ascii="Times New Roman" w:eastAsia="Calibri" w:hAnsi="Times New Roman"/>
              </w:rPr>
              <w:t xml:space="preserve"> pkt</w:t>
            </w:r>
          </w:p>
        </w:tc>
      </w:tr>
      <w:tr w:rsidR="00FA0216">
        <w:trPr>
          <w:trHeight w:val="178"/>
        </w:trPr>
        <w:tc>
          <w:tcPr>
            <w:tcW w:w="7652" w:type="dxa"/>
            <w:gridSpan w:val="3"/>
          </w:tcPr>
          <w:p w:rsidR="00FA0216" w:rsidRDefault="00F95758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RAZEM</w:t>
            </w:r>
          </w:p>
        </w:tc>
        <w:tc>
          <w:tcPr>
            <w:tcW w:w="1339" w:type="dxa"/>
          </w:tcPr>
          <w:p w:rsidR="00FA0216" w:rsidRDefault="008F59DD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</w:t>
            </w:r>
            <w:r w:rsidR="00F95758">
              <w:rPr>
                <w:rFonts w:ascii="Times New Roman" w:eastAsia="Calibri" w:hAnsi="Times New Roman"/>
                <w:b/>
              </w:rPr>
              <w:t xml:space="preserve"> pkt </w:t>
            </w:r>
          </w:p>
        </w:tc>
      </w:tr>
    </w:tbl>
    <w:p w:rsidR="00FA0216" w:rsidRDefault="00197FDA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9002658</wp:posOffset>
            </wp:positionV>
            <wp:extent cx="3128010" cy="323850"/>
            <wp:effectExtent l="0" t="0" r="0" b="0"/>
            <wp:wrapTopAndBottom/>
            <wp:docPr id="3" name="Obraz 3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021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192" w:rsidRDefault="00E62192" w:rsidP="00E62192">
      <w:pPr>
        <w:spacing w:after="0" w:line="240" w:lineRule="auto"/>
      </w:pPr>
      <w:r>
        <w:separator/>
      </w:r>
    </w:p>
  </w:endnote>
  <w:endnote w:type="continuationSeparator" w:id="0">
    <w:p w:rsidR="00E62192" w:rsidRDefault="00E62192" w:rsidP="00E6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Rasa-Ligh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192" w:rsidRDefault="00E62192" w:rsidP="00E62192">
      <w:pPr>
        <w:spacing w:after="0" w:line="240" w:lineRule="auto"/>
      </w:pPr>
      <w:r>
        <w:separator/>
      </w:r>
    </w:p>
  </w:footnote>
  <w:footnote w:type="continuationSeparator" w:id="0">
    <w:p w:rsidR="00E62192" w:rsidRDefault="00E62192" w:rsidP="00E62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16"/>
    <w:rsid w:val="00197FDA"/>
    <w:rsid w:val="001A7866"/>
    <w:rsid w:val="001D7D3A"/>
    <w:rsid w:val="00654683"/>
    <w:rsid w:val="008B1A4C"/>
    <w:rsid w:val="008F59DD"/>
    <w:rsid w:val="00AF0AA3"/>
    <w:rsid w:val="00CD7ABA"/>
    <w:rsid w:val="00E62192"/>
    <w:rsid w:val="00F95758"/>
    <w:rsid w:val="00FA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B1318-BE37-4C29-B1F6-C424B4DC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398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94B4E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4B4E"/>
    <w:rPr>
      <w:rFonts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A0E99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A0E99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4B4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F94B4E"/>
    <w:pPr>
      <w:suppressAutoHyphens w:val="0"/>
    </w:pPr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4B4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E9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0C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E621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31</cp:revision>
  <cp:lastPrinted>2021-10-29T10:38:00Z</cp:lastPrinted>
  <dcterms:created xsi:type="dcterms:W3CDTF">2021-07-15T09:33:00Z</dcterms:created>
  <dcterms:modified xsi:type="dcterms:W3CDTF">2021-10-29T10:38:00Z</dcterms:modified>
  <dc:language>pl-PL</dc:language>
</cp:coreProperties>
</file>