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C84E8" w14:textId="31633BA0" w:rsidR="00D6239A" w:rsidRPr="00D6239A" w:rsidRDefault="00D6239A" w:rsidP="00EC46FE">
      <w:pPr>
        <w:autoSpaceDE w:val="0"/>
        <w:autoSpaceDN w:val="0"/>
        <w:adjustRightInd w:val="0"/>
        <w:spacing w:after="10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D6239A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Postanowienia traktatu pokojowego kończącego II wojnę punicką </w:t>
      </w:r>
      <w:r w:rsidRPr="00D6239A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  <w:t>w opisie Polibiusza – greckiego historyka żyjącego w II w. p.n.e.</w:t>
      </w:r>
    </w:p>
    <w:p w14:paraId="61CF0FCA" w14:textId="20768F27" w:rsidR="00D6239A" w:rsidRPr="00D6239A" w:rsidRDefault="00D6239A" w:rsidP="00D6239A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D6239A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Oto poszczególne punkty podyktowanych warunków: mogą Kartagińczycy zatrzymać w Afryce te miasta, które posiadali przed wydaniem […] wojny Rzymowi, a także kraj dawny, bydło, służbę i resztę mienia. Mają też od danego dnia nie doznawać szkód, mogą używać własnych zwyczajów i praw bez trzymania obcej załogi w mieście. To były warunki podyktowane łagodnością. Natomiast reszta warunków brzmiała: Kartagińczycy zobowiązują się naprawić Rzymowi wszystkie szkody zadane Rzymianom w czasie rozejmu. Muszą wydać jeńców i zbiegów wojennych z całego okresu wojny, wydać wszystkie okręty wojenne z wyjątkiem dziesięciu trójrzędowców</w:t>
      </w:r>
      <w:r w:rsidRPr="00D6239A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D6239A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, podobnie słonie. Wojny nie [mogą] wypowiadać poza Afryką w</w:t>
      </w:r>
      <w:r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 </w:t>
      </w:r>
      <w:r w:rsidRPr="00D6239A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ogóle, a w Afryce tylko za zgodą Rzymian. […] Wypłacić Rzymowi dziesięć tysięcy talentów w ciągu pięćdziesięciu lat […]. Jako porękę</w:t>
      </w:r>
      <w:r w:rsidRPr="00D6239A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D6239A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wydać stu zakładników, których wybierze sam wódz rzymski spośród młodych ludzi w wieku od czternastu do trzydziestu lat. </w:t>
      </w:r>
    </w:p>
    <w:p w14:paraId="1CF627FD" w14:textId="17B50710" w:rsidR="00D6239A" w:rsidRPr="00D6239A" w:rsidRDefault="00D6239A" w:rsidP="00D6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239A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D6239A">
        <w:rPr>
          <w:rFonts w:ascii="Times New Roman" w:hAnsi="Times New Roman" w:cs="Times New Roman"/>
          <w:bCs/>
          <w:sz w:val="20"/>
          <w:szCs w:val="20"/>
        </w:rPr>
        <w:t xml:space="preserve"> trójrzędowiec </w:t>
      </w:r>
      <w:r w:rsidRPr="00D6239A">
        <w:rPr>
          <w:rFonts w:ascii="Times New Roman" w:hAnsi="Times New Roman" w:cs="Times New Roman"/>
          <w:sz w:val="20"/>
          <w:szCs w:val="20"/>
        </w:rPr>
        <w:t>– statek z trzema rzędami wioseł</w:t>
      </w:r>
    </w:p>
    <w:p w14:paraId="18D2AB39" w14:textId="757FDA9B" w:rsidR="00D6239A" w:rsidRPr="00D6239A" w:rsidRDefault="00D6239A" w:rsidP="00D6239A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sz w:val="20"/>
          <w:szCs w:val="20"/>
        </w:rPr>
      </w:pPr>
      <w:r w:rsidRPr="00D6239A">
        <w:rPr>
          <w:rFonts w:ascii="Times New Roman" w:hAnsi="Times New Roman" w:cs="Times New Roman"/>
          <w:sz w:val="20"/>
          <w:szCs w:val="20"/>
        </w:rPr>
        <w:t xml:space="preserve">2 poręka – poręczenie, zapewnienie, gwarancja </w:t>
      </w:r>
    </w:p>
    <w:p w14:paraId="09071E00" w14:textId="55063CD6" w:rsidR="00D6239A" w:rsidRPr="00D6239A" w:rsidRDefault="00D6239A" w:rsidP="001319D5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-Bold" w:hAnsi="Times New Roman" w:cs="Times New Roman"/>
        </w:rPr>
      </w:pPr>
      <w:bookmarkStart w:id="0" w:name="_GoBack"/>
      <w:bookmarkEnd w:id="0"/>
      <w:r w:rsidRPr="00D6239A">
        <w:rPr>
          <w:rFonts w:ascii="Times New Roman" w:eastAsia="Apolonia-Bold" w:hAnsi="Times New Roman" w:cs="Times New Roman"/>
        </w:rPr>
        <w:t xml:space="preserve">Sławomir </w:t>
      </w:r>
      <w:proofErr w:type="spellStart"/>
      <w:r w:rsidRPr="00D6239A">
        <w:rPr>
          <w:rFonts w:ascii="Times New Roman" w:eastAsia="Apolonia-Bold" w:hAnsi="Times New Roman" w:cs="Times New Roman"/>
        </w:rPr>
        <w:t>Sprawski</w:t>
      </w:r>
      <w:proofErr w:type="spellEnd"/>
      <w:r w:rsidRPr="00D6239A">
        <w:rPr>
          <w:rFonts w:ascii="Times New Roman" w:eastAsia="Apolonia-Bold" w:hAnsi="Times New Roman" w:cs="Times New Roman"/>
        </w:rPr>
        <w:t xml:space="preserve">, Grzegorz Chomicki, </w:t>
      </w:r>
      <w:r w:rsidRPr="00D6239A">
        <w:rPr>
          <w:rFonts w:ascii="Times New Roman" w:eastAsia="Apolonia-Bold" w:hAnsi="Times New Roman" w:cs="Times New Roman"/>
          <w:i/>
          <w:iCs/>
        </w:rPr>
        <w:t>Starożytność. Teksty źródłowe, komentarze i zagadnienia</w:t>
      </w:r>
      <w:r>
        <w:rPr>
          <w:rFonts w:ascii="Times New Roman" w:eastAsia="Apolonia-Bold" w:hAnsi="Times New Roman" w:cs="Times New Roman"/>
          <w:i/>
          <w:iCs/>
        </w:rPr>
        <w:br/>
      </w:r>
      <w:r w:rsidRPr="00D6239A">
        <w:rPr>
          <w:rFonts w:ascii="Times New Roman" w:eastAsia="Apolonia-Bold" w:hAnsi="Times New Roman" w:cs="Times New Roman"/>
          <w:i/>
          <w:iCs/>
        </w:rPr>
        <w:t xml:space="preserve"> do historii w szkole średniej</w:t>
      </w:r>
      <w:r w:rsidRPr="00D6239A">
        <w:rPr>
          <w:rFonts w:ascii="Times New Roman" w:eastAsia="Apolonia-Bold" w:hAnsi="Times New Roman" w:cs="Times New Roman"/>
        </w:rPr>
        <w:t>, Kraków 1999, s. 208–209.</w:t>
      </w:r>
    </w:p>
    <w:p w14:paraId="2E5DED52" w14:textId="77777777" w:rsidR="00BE65FF" w:rsidRPr="00D6239A" w:rsidRDefault="00BE65FF" w:rsidP="00BE65FF">
      <w:pPr>
        <w:rPr>
          <w:rFonts w:ascii="Times New Roman" w:eastAsia="Apolonia-Bold" w:hAnsi="Times New Roman" w:cs="Times New Roman"/>
          <w:sz w:val="24"/>
          <w:szCs w:val="24"/>
        </w:rPr>
      </w:pPr>
    </w:p>
    <w:p w14:paraId="615DDD27" w14:textId="77777777" w:rsidR="008E2C28" w:rsidRPr="00D6239A" w:rsidRDefault="008E2C28" w:rsidP="00C20052">
      <w:pPr>
        <w:spacing w:after="6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239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509FE71B" w14:textId="3AC04851" w:rsidR="00D6239A" w:rsidRPr="00D6239A" w:rsidRDefault="00BE65FF" w:rsidP="00EC46FE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sz w:val="24"/>
          <w:szCs w:val="24"/>
        </w:rPr>
      </w:pPr>
      <w:r w:rsidRPr="00D6239A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 xml:space="preserve">1. </w:t>
      </w:r>
      <w:r w:rsidR="00D6239A" w:rsidRPr="00D6239A">
        <w:rPr>
          <w:rFonts w:ascii="Times New Roman" w:eastAsia="Apolonia-Bold" w:hAnsi="Times New Roman" w:cs="Times New Roman"/>
          <w:sz w:val="24"/>
          <w:szCs w:val="24"/>
        </w:rPr>
        <w:t>Określ strony walczące w II wojnie punickiej. Na podstawi</w:t>
      </w:r>
      <w:r w:rsidR="00EC46FE">
        <w:rPr>
          <w:rFonts w:ascii="Times New Roman" w:eastAsia="Apolonia-Bold" w:hAnsi="Times New Roman" w:cs="Times New Roman"/>
          <w:sz w:val="24"/>
          <w:szCs w:val="24"/>
        </w:rPr>
        <w:t xml:space="preserve">e wiedzy </w:t>
      </w:r>
      <w:proofErr w:type="spellStart"/>
      <w:r w:rsidR="00EC46FE">
        <w:rPr>
          <w:rFonts w:ascii="Times New Roman" w:eastAsia="Apolonia-Bold" w:hAnsi="Times New Roman" w:cs="Times New Roman"/>
          <w:sz w:val="24"/>
          <w:szCs w:val="24"/>
        </w:rPr>
        <w:t>pozaźródłowej</w:t>
      </w:r>
      <w:proofErr w:type="spellEnd"/>
      <w:r w:rsidR="00EC46FE">
        <w:rPr>
          <w:rFonts w:ascii="Times New Roman" w:eastAsia="Apolonia-Bold" w:hAnsi="Times New Roman" w:cs="Times New Roman"/>
          <w:sz w:val="24"/>
          <w:szCs w:val="24"/>
        </w:rPr>
        <w:t xml:space="preserve"> wyjaśnij</w:t>
      </w:r>
      <w:r w:rsidR="00D6239A" w:rsidRPr="00D6239A">
        <w:rPr>
          <w:rFonts w:ascii="Times New Roman" w:eastAsia="Apolonia-Bold" w:hAnsi="Times New Roman" w:cs="Times New Roman"/>
          <w:sz w:val="24"/>
          <w:szCs w:val="24"/>
        </w:rPr>
        <w:t xml:space="preserve"> pochodzenie nazwy konfliktu.</w:t>
      </w:r>
    </w:p>
    <w:p w14:paraId="2171D4FF" w14:textId="74BC8DDF" w:rsidR="00D6239A" w:rsidRPr="00EC46FE" w:rsidRDefault="00D6239A" w:rsidP="00EC46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6239A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2. </w:t>
      </w:r>
      <w:r w:rsidRPr="00D6239A">
        <w:rPr>
          <w:rFonts w:ascii="Times New Roman" w:hAnsi="Times New Roman" w:cs="Times New Roman"/>
          <w:color w:val="000000"/>
          <w:sz w:val="24"/>
          <w:szCs w:val="24"/>
        </w:rPr>
        <w:t>Wymień postanowienia traktatu kończącego II wojnę punicką</w:t>
      </w:r>
      <w:r w:rsidRPr="00EC46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4FA7A" w14:textId="35C7EA5E" w:rsidR="00D6239A" w:rsidRPr="00EC46FE" w:rsidRDefault="00D6239A" w:rsidP="00EC46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39A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3. </w:t>
      </w:r>
      <w:r w:rsidRPr="00D6239A">
        <w:rPr>
          <w:rFonts w:ascii="Times New Roman" w:hAnsi="Times New Roman" w:cs="Times New Roman"/>
          <w:color w:val="000000"/>
          <w:sz w:val="24"/>
          <w:szCs w:val="24"/>
        </w:rPr>
        <w:t xml:space="preserve">Określ, </w:t>
      </w:r>
      <w:r w:rsidR="00EC46FE">
        <w:rPr>
          <w:rFonts w:ascii="Times New Roman" w:hAnsi="Times New Roman" w:cs="Times New Roman"/>
          <w:color w:val="000000"/>
          <w:sz w:val="24"/>
          <w:szCs w:val="24"/>
        </w:rPr>
        <w:t xml:space="preserve">jak </w:t>
      </w:r>
      <w:r w:rsidRPr="00EC46FE">
        <w:rPr>
          <w:rFonts w:ascii="Times New Roman" w:hAnsi="Times New Roman" w:cs="Times New Roman"/>
          <w:sz w:val="24"/>
          <w:szCs w:val="24"/>
        </w:rPr>
        <w:t>Rzymia</w:t>
      </w:r>
      <w:r w:rsidR="00EC46FE">
        <w:rPr>
          <w:rFonts w:ascii="Times New Roman" w:hAnsi="Times New Roman" w:cs="Times New Roman"/>
          <w:sz w:val="24"/>
          <w:szCs w:val="24"/>
        </w:rPr>
        <w:t>nie</w:t>
      </w:r>
      <w:r w:rsidRPr="00EC46FE">
        <w:rPr>
          <w:rFonts w:ascii="Times New Roman" w:hAnsi="Times New Roman" w:cs="Times New Roman"/>
          <w:sz w:val="24"/>
          <w:szCs w:val="24"/>
        </w:rPr>
        <w:t xml:space="preserve"> </w:t>
      </w:r>
      <w:r w:rsidR="00EC46FE">
        <w:rPr>
          <w:rFonts w:ascii="Times New Roman" w:hAnsi="Times New Roman" w:cs="Times New Roman"/>
          <w:sz w:val="24"/>
          <w:szCs w:val="24"/>
        </w:rPr>
        <w:t>rozumieli sens sformułowań</w:t>
      </w:r>
      <w:r w:rsidRPr="00EC46FE">
        <w:rPr>
          <w:rFonts w:ascii="Times New Roman" w:hAnsi="Times New Roman" w:cs="Times New Roman"/>
          <w:sz w:val="24"/>
          <w:szCs w:val="24"/>
        </w:rPr>
        <w:t xml:space="preserve">: „podyktowane warunki” oraz „warunki </w:t>
      </w:r>
      <w:r w:rsidR="00EC46FE" w:rsidRPr="00EC46FE">
        <w:rPr>
          <w:rFonts w:ascii="Times New Roman" w:hAnsi="Times New Roman" w:cs="Times New Roman"/>
          <w:sz w:val="24"/>
          <w:szCs w:val="24"/>
        </w:rPr>
        <w:t xml:space="preserve">podyktowane łagodnością”. </w:t>
      </w:r>
    </w:p>
    <w:p w14:paraId="593F6366" w14:textId="5D4F91F9" w:rsidR="0027238B" w:rsidRPr="00D6239A" w:rsidRDefault="0027238B" w:rsidP="00EC46FE">
      <w:pPr>
        <w:spacing w:afterLines="60" w:after="144" w:line="360" w:lineRule="auto"/>
        <w:rPr>
          <w:rFonts w:ascii="Times New Roman" w:eastAsia="Apolonia-Bold" w:hAnsi="Times New Roman" w:cs="Times New Roman"/>
          <w:iCs/>
          <w:color w:val="000000"/>
          <w:sz w:val="24"/>
          <w:szCs w:val="24"/>
        </w:rPr>
      </w:pPr>
    </w:p>
    <w:sectPr w:rsidR="0027238B" w:rsidRPr="00D623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ED1A" w14:textId="77777777" w:rsidR="00751F12" w:rsidRDefault="00751F12" w:rsidP="00751F12">
      <w:pPr>
        <w:spacing w:after="0" w:line="240" w:lineRule="auto"/>
      </w:pPr>
      <w:r>
        <w:separator/>
      </w:r>
    </w:p>
  </w:endnote>
  <w:endnote w:type="continuationSeparator" w:id="0">
    <w:p w14:paraId="298111EB" w14:textId="77777777" w:rsidR="00751F12" w:rsidRDefault="00751F12" w:rsidP="007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A62E" w14:textId="77777777" w:rsidR="00751F12" w:rsidRDefault="00751F12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2902EA8C" wp14:editId="6FECD26D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103F" w14:textId="77777777" w:rsidR="00751F12" w:rsidRDefault="00751F12" w:rsidP="00751F12">
      <w:pPr>
        <w:spacing w:after="0" w:line="240" w:lineRule="auto"/>
      </w:pPr>
      <w:r>
        <w:separator/>
      </w:r>
    </w:p>
  </w:footnote>
  <w:footnote w:type="continuationSeparator" w:id="0">
    <w:p w14:paraId="224CE72E" w14:textId="77777777" w:rsidR="00751F12" w:rsidRDefault="00751F12" w:rsidP="0075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4C53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0E0E"/>
    <w:multiLevelType w:val="hybridMultilevel"/>
    <w:tmpl w:val="71D8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B395B"/>
    <w:multiLevelType w:val="hybridMultilevel"/>
    <w:tmpl w:val="D3E0E326"/>
    <w:lvl w:ilvl="0" w:tplc="97EC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2"/>
    <w:rsid w:val="000512D2"/>
    <w:rsid w:val="000602B9"/>
    <w:rsid w:val="00107627"/>
    <w:rsid w:val="001319D5"/>
    <w:rsid w:val="00245E10"/>
    <w:rsid w:val="00264EE4"/>
    <w:rsid w:val="0027238B"/>
    <w:rsid w:val="00281289"/>
    <w:rsid w:val="00314AF6"/>
    <w:rsid w:val="003A22F7"/>
    <w:rsid w:val="00443AA4"/>
    <w:rsid w:val="004C2B3E"/>
    <w:rsid w:val="00523F34"/>
    <w:rsid w:val="0059423A"/>
    <w:rsid w:val="005F1B94"/>
    <w:rsid w:val="00607CFB"/>
    <w:rsid w:val="00612CD8"/>
    <w:rsid w:val="00630418"/>
    <w:rsid w:val="006665E0"/>
    <w:rsid w:val="006E7D26"/>
    <w:rsid w:val="006F6D56"/>
    <w:rsid w:val="00743F4E"/>
    <w:rsid w:val="00751F12"/>
    <w:rsid w:val="00756AFF"/>
    <w:rsid w:val="007768A9"/>
    <w:rsid w:val="007A21DA"/>
    <w:rsid w:val="0086767F"/>
    <w:rsid w:val="008B5275"/>
    <w:rsid w:val="008E2C28"/>
    <w:rsid w:val="00A0350B"/>
    <w:rsid w:val="00AB2585"/>
    <w:rsid w:val="00AB4F0D"/>
    <w:rsid w:val="00AB7B3C"/>
    <w:rsid w:val="00B1780E"/>
    <w:rsid w:val="00B30589"/>
    <w:rsid w:val="00BE65FF"/>
    <w:rsid w:val="00C20052"/>
    <w:rsid w:val="00D51D10"/>
    <w:rsid w:val="00D6239A"/>
    <w:rsid w:val="00D944E9"/>
    <w:rsid w:val="00EC1194"/>
    <w:rsid w:val="00EC27A8"/>
    <w:rsid w:val="00EC46FE"/>
    <w:rsid w:val="00F20099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E7E"/>
  <w15:chartTrackingRefBased/>
  <w15:docId w15:val="{EDBF5FEB-49D0-419A-94AF-319998F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F12"/>
  </w:style>
  <w:style w:type="paragraph" w:styleId="Stopka">
    <w:name w:val="footer"/>
    <w:basedOn w:val="Normalny"/>
    <w:link w:val="Stopka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F12"/>
  </w:style>
  <w:style w:type="character" w:styleId="Odwoaniedokomentarza">
    <w:name w:val="annotation reference"/>
    <w:basedOn w:val="Domylnaczcionkaakapitu"/>
    <w:uiPriority w:val="99"/>
    <w:semiHidden/>
    <w:unhideWhenUsed/>
    <w:rsid w:val="0075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F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F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F12"/>
    <w:pPr>
      <w:ind w:left="720"/>
      <w:contextualSpacing/>
    </w:pPr>
  </w:style>
  <w:style w:type="paragraph" w:styleId="Poprawka">
    <w:name w:val="Revision"/>
    <w:hidden/>
    <w:uiPriority w:val="99"/>
    <w:semiHidden/>
    <w:rsid w:val="00B17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7</cp:revision>
  <cp:lastPrinted>2023-11-10T13:15:00Z</cp:lastPrinted>
  <dcterms:created xsi:type="dcterms:W3CDTF">2023-10-16T12:30:00Z</dcterms:created>
  <dcterms:modified xsi:type="dcterms:W3CDTF">2023-11-10T13:15:00Z</dcterms:modified>
</cp:coreProperties>
</file>