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1"/>
        <w:gridCol w:w="1702"/>
        <w:gridCol w:w="1702"/>
        <w:gridCol w:w="8469"/>
      </w:tblGrid>
      <w:tr w:rsidR="00FB3566" w:rsidRPr="006E37C6" w:rsidTr="00FB3566">
        <w:trPr>
          <w:trHeight w:val="765"/>
        </w:trPr>
        <w:tc>
          <w:tcPr>
            <w:tcW w:w="758" w:type="pct"/>
            <w:shd w:val="clear" w:color="000000" w:fill="FFFFFF"/>
            <w:vAlign w:val="center"/>
            <w:hideMark/>
          </w:tcPr>
          <w:p w:rsidR="00FB3566" w:rsidRPr="006E37C6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Temat lekcji</w:t>
            </w:r>
          </w:p>
        </w:tc>
        <w:tc>
          <w:tcPr>
            <w:tcW w:w="608" w:type="pct"/>
            <w:shd w:val="clear" w:color="000000" w:fill="FFFFFF"/>
            <w:vAlign w:val="center"/>
            <w:hideMark/>
          </w:tcPr>
          <w:p w:rsidR="00FB3566" w:rsidRPr="006E37C6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Zakres </w:t>
            </w:r>
            <w:r w:rsidRPr="006E37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  <w:t>podstawowy</w:t>
            </w:r>
            <w:r w:rsidRPr="006E37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  <w:t>(liczba godzin)</w:t>
            </w:r>
          </w:p>
        </w:tc>
        <w:tc>
          <w:tcPr>
            <w:tcW w:w="608" w:type="pct"/>
            <w:shd w:val="clear" w:color="000000" w:fill="FFFFFF"/>
            <w:vAlign w:val="center"/>
            <w:hideMark/>
          </w:tcPr>
          <w:p w:rsidR="00FB3566" w:rsidRPr="006E37C6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Zakres rozszerzony </w:t>
            </w:r>
            <w:r w:rsidRPr="006E37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  <w:t>(liczba godzin)</w:t>
            </w:r>
          </w:p>
        </w:tc>
        <w:tc>
          <w:tcPr>
            <w:tcW w:w="3026" w:type="pct"/>
            <w:shd w:val="clear" w:color="000000" w:fill="FFFFFF"/>
            <w:vAlign w:val="center"/>
            <w:hideMark/>
          </w:tcPr>
          <w:p w:rsidR="00FB3566" w:rsidRPr="006E37C6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Punkty podstawy programowej </w:t>
            </w:r>
          </w:p>
        </w:tc>
      </w:tr>
      <w:tr w:rsidR="00FB3566" w:rsidRPr="006E37C6" w:rsidTr="007C076E">
        <w:trPr>
          <w:trHeight w:val="315"/>
        </w:trPr>
        <w:tc>
          <w:tcPr>
            <w:tcW w:w="5000" w:type="pct"/>
            <w:gridSpan w:val="4"/>
            <w:shd w:val="clear" w:color="auto" w:fill="B4C6E7" w:themeFill="accent5" w:themeFillTint="66"/>
            <w:vAlign w:val="center"/>
            <w:hideMark/>
          </w:tcPr>
          <w:p w:rsidR="000A41B3" w:rsidRPr="006E37C6" w:rsidRDefault="000A41B3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FB3566" w:rsidRPr="006E37C6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 epoce humanistów i wielkich odkryć geograficznych </w:t>
            </w:r>
          </w:p>
          <w:p w:rsidR="000A41B3" w:rsidRPr="006E37C6" w:rsidRDefault="000A41B3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B3566" w:rsidRPr="006E37C6" w:rsidTr="00FB3566">
        <w:trPr>
          <w:trHeight w:val="563"/>
        </w:trPr>
        <w:tc>
          <w:tcPr>
            <w:tcW w:w="758" w:type="pct"/>
            <w:shd w:val="clear" w:color="000000" w:fill="FFFFFF"/>
            <w:hideMark/>
          </w:tcPr>
          <w:p w:rsidR="00FB3566" w:rsidRPr="006E37C6" w:rsidRDefault="00AC05F9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Kongres wiedeński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6E37C6" w:rsidRDefault="00AC05F9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6E37C6" w:rsidRDefault="00AC05F9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:rsidR="00AC05F9" w:rsidRPr="006E37C6" w:rsidRDefault="00AC05F9" w:rsidP="00F27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XXX. Europa i świat po kongresie wiedeńskim.</w:t>
            </w:r>
            <w:r w:rsidR="00F27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A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  <w:r w:rsidR="00F27A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1) przedstawia decyzje kongresu wiedeńskiego w odniesieniu do Europy i świata, z uwzględnieniem podziału ziem polskich.</w:t>
            </w:r>
            <w:r w:rsidR="00F27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A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Uczeń spełnia wymagania określone dla zakresu podstawowego, a ponadto:</w:t>
            </w:r>
            <w:r w:rsidR="00F27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A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1) ocenia rolę Świętego Przymierza.</w:t>
            </w:r>
            <w:r w:rsidR="00F27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A7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B3566" w:rsidRPr="006E37C6" w:rsidTr="00AC05F9">
        <w:trPr>
          <w:trHeight w:val="1412"/>
        </w:trPr>
        <w:tc>
          <w:tcPr>
            <w:tcW w:w="758" w:type="pct"/>
            <w:shd w:val="clear" w:color="000000" w:fill="FFFFFF"/>
            <w:hideMark/>
          </w:tcPr>
          <w:p w:rsidR="00FB3566" w:rsidRPr="006E37C6" w:rsidRDefault="00AC05F9" w:rsidP="00AC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Cywilizacja przemysłowa w pierwszej połowie XIX w. 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6E37C6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6E37C6" w:rsidRDefault="007A3F2D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hideMark/>
          </w:tcPr>
          <w:p w:rsidR="00AC05F9" w:rsidRPr="006E37C6" w:rsidRDefault="00AC05F9" w:rsidP="00F2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XXX. Europa i świat po kongresie wiedeńskim.</w:t>
            </w:r>
            <w:r w:rsidR="00F27A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  <w:r w:rsidR="00F27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A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3) przedstawia przebieg rewolucji przemysłowej w Europie i Stanach Zjednoczonych oraz wskazuje jej najważniejsze konsekwencje społeczno-gospodarcze.</w:t>
            </w:r>
            <w:r w:rsidR="00F27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A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0" w:name="_GoBack"/>
            <w:bookmarkEnd w:id="0"/>
          </w:p>
        </w:tc>
      </w:tr>
      <w:tr w:rsidR="00FB3566" w:rsidRPr="006E37C6" w:rsidTr="00FB3566">
        <w:trPr>
          <w:trHeight w:val="1984"/>
        </w:trPr>
        <w:tc>
          <w:tcPr>
            <w:tcW w:w="758" w:type="pct"/>
            <w:shd w:val="clear" w:color="000000" w:fill="FFFFFF"/>
            <w:hideMark/>
          </w:tcPr>
          <w:p w:rsidR="00FB3566" w:rsidRPr="006E37C6" w:rsidRDefault="00145312" w:rsidP="001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Nurty ideowe i kultura w pierwszej połowie XIX w. 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6E37C6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6E37C6" w:rsidRDefault="007A3F2D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hideMark/>
          </w:tcPr>
          <w:p w:rsidR="00145312" w:rsidRPr="006E37C6" w:rsidRDefault="00AC05F9" w:rsidP="00F27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XXX. Europa i świat po kongresie wiedeńskim.</w:t>
            </w: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Uczeń:</w:t>
            </w: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4) omawia najważniejsze prądy kulturowe oraz nurty ideowe I poł. XIX wieku, uwzględniając ich przedstawicieli.</w:t>
            </w:r>
            <w:r w:rsidR="00F27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A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B3566" w:rsidRPr="006E37C6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 xml:space="preserve">Uczeń </w:t>
            </w:r>
            <w:r w:rsidR="00FB3566" w:rsidRPr="006E3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spełnia wymagania określone dla zakresu podstawowego, a ponadto:</w:t>
            </w:r>
            <w:r w:rsidR="00FB3566" w:rsidRPr="006E37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145312" w:rsidRPr="006E37C6">
              <w:rPr>
                <w:rFonts w:ascii="Times New Roman" w:hAnsi="Times New Roman" w:cs="Times New Roman"/>
                <w:sz w:val="24"/>
                <w:szCs w:val="24"/>
              </w:rPr>
              <w:t>2) charakteryzuje ruchy społeczne i niepodległościowe w I poł. XIX w.</w:t>
            </w:r>
            <w:r w:rsidR="00F27A7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B3566" w:rsidRPr="006E37C6" w:rsidTr="00FB3566">
        <w:trPr>
          <w:trHeight w:val="1879"/>
        </w:trPr>
        <w:tc>
          <w:tcPr>
            <w:tcW w:w="758" w:type="pct"/>
            <w:shd w:val="clear" w:color="000000" w:fill="FFFFFF"/>
            <w:hideMark/>
          </w:tcPr>
          <w:p w:rsidR="00FB3566" w:rsidRPr="006E37C6" w:rsidRDefault="00FB3566" w:rsidP="0014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145312" w:rsidRPr="006E37C6">
              <w:rPr>
                <w:rFonts w:ascii="Times New Roman" w:hAnsi="Times New Roman" w:cs="Times New Roman"/>
                <w:sz w:val="24"/>
                <w:szCs w:val="24"/>
              </w:rPr>
              <w:t>Kontestacja ładu wiedeńskiego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6E37C6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6E37C6" w:rsidRDefault="00145312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hideMark/>
          </w:tcPr>
          <w:p w:rsidR="000139D8" w:rsidRPr="006E37C6" w:rsidRDefault="00B75E46" w:rsidP="00F27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XXX. Europa i świat po kongresie wiedeńskim.</w:t>
            </w: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Uczeń:</w:t>
            </w: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2) opisuje funkcjonowanie systemu wiedeńskiego i charakteryzuje próby jego podważenia.</w:t>
            </w:r>
            <w:r w:rsidR="00F27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A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139D8"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Uczeń </w:t>
            </w:r>
            <w:r w:rsidR="000139D8" w:rsidRPr="006E37C6">
              <w:rPr>
                <w:rFonts w:ascii="Times New Roman" w:hAnsi="Times New Roman" w:cs="Times New Roman"/>
                <w:sz w:val="24"/>
                <w:szCs w:val="24"/>
              </w:rPr>
              <w:t>spełnia wymagania określone dla zakresu podstawowego, a ponadto:</w:t>
            </w:r>
            <w:r w:rsidR="00F27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A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139D8" w:rsidRPr="006E37C6">
              <w:rPr>
                <w:rFonts w:ascii="Times New Roman" w:hAnsi="Times New Roman" w:cs="Times New Roman"/>
                <w:sz w:val="24"/>
                <w:szCs w:val="24"/>
              </w:rPr>
              <w:t>2) charakteryzuje ruchy społeczne</w:t>
            </w:r>
            <w:r w:rsidR="00F27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9D8" w:rsidRPr="006E37C6">
              <w:rPr>
                <w:rFonts w:ascii="Times New Roman" w:hAnsi="Times New Roman" w:cs="Times New Roman"/>
                <w:sz w:val="24"/>
                <w:szCs w:val="24"/>
              </w:rPr>
              <w:t>i niepodległościowe w I poł. XIX w.</w:t>
            </w:r>
            <w:r w:rsidR="00F27A7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B3566" w:rsidRPr="006E37C6" w:rsidTr="00B75E46">
        <w:trPr>
          <w:trHeight w:val="604"/>
        </w:trPr>
        <w:tc>
          <w:tcPr>
            <w:tcW w:w="758" w:type="pct"/>
            <w:shd w:val="clear" w:color="000000" w:fill="FFFFFF"/>
            <w:hideMark/>
          </w:tcPr>
          <w:p w:rsidR="00AC6C34" w:rsidRPr="006E37C6" w:rsidRDefault="00B75E4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Wiosna Ludów 1848–1849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6E37C6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6E37C6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hideMark/>
          </w:tcPr>
          <w:p w:rsidR="000139D8" w:rsidRPr="006E37C6" w:rsidRDefault="000139D8" w:rsidP="00F2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XXX. Europa i świat po kongresie wiedeńskim.</w:t>
            </w: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Uczeń:</w:t>
            </w:r>
            <w:r w:rsidR="00F27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 wyjaśnia genezę i skutki Wiosny Ludów.</w:t>
            </w: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Uczeń </w:t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spełnia wymagania określone dla zakresu podstawowego, a ponadto:</w:t>
            </w:r>
            <w:r w:rsidR="00F27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A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5) charakteryzuje przebieg Wiosny Ludów w Europie.</w:t>
            </w:r>
            <w:r w:rsidR="00F27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A7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B3566" w:rsidRPr="006E37C6" w:rsidTr="000139D8">
        <w:trPr>
          <w:trHeight w:val="2250"/>
        </w:trPr>
        <w:tc>
          <w:tcPr>
            <w:tcW w:w="758" w:type="pct"/>
            <w:shd w:val="clear" w:color="000000" w:fill="FFFFFF"/>
            <w:hideMark/>
          </w:tcPr>
          <w:p w:rsidR="00FB3566" w:rsidRPr="006E37C6" w:rsidRDefault="000139D8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Ameryka Północna i Południowa w pierwszej połowie XIX w.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6E37C6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6E37C6" w:rsidRDefault="000139D8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26" w:type="pct"/>
            <w:shd w:val="clear" w:color="000000" w:fill="FFFFFF"/>
            <w:hideMark/>
          </w:tcPr>
          <w:p w:rsidR="000139D8" w:rsidRPr="006E37C6" w:rsidRDefault="000139D8" w:rsidP="00F2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XXX. Europa i świat po kongresie wiedeńskim.</w:t>
            </w:r>
            <w:r w:rsidR="00F27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A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  <w:r w:rsidR="00F27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A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3) przedstawia przebieg rewolucji przemysłowej w Europie i Stanach Zjednoczonych oraz wskazuje jej najważniejsze konsekwencje społeczno-gospodarcze.</w:t>
            </w:r>
            <w:r w:rsidR="00F27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A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Uczeń spełnia wymagania określone dla zakresu podstawowego, a ponadto:</w:t>
            </w:r>
            <w:r w:rsidR="00F27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A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3) charakteryzuje proces powstawania</w:t>
            </w:r>
            <w:r w:rsidR="00F27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niepodległych państw w Ameryce</w:t>
            </w:r>
            <w:r w:rsidR="00F27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Łacińskiej;</w:t>
            </w:r>
            <w:r w:rsidR="00F27A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4) wyj</w:t>
            </w:r>
            <w:r w:rsidR="00F27A70">
              <w:rPr>
                <w:rFonts w:ascii="Times New Roman" w:hAnsi="Times New Roman" w:cs="Times New Roman"/>
                <w:sz w:val="24"/>
                <w:szCs w:val="24"/>
              </w:rPr>
              <w:t>aśnia założenia doktryny Monroe.</w:t>
            </w:r>
            <w:r w:rsidR="00F27A7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076E" w:rsidRPr="006E37C6" w:rsidTr="007C076E">
        <w:trPr>
          <w:trHeight w:val="315"/>
        </w:trPr>
        <w:tc>
          <w:tcPr>
            <w:tcW w:w="758" w:type="pct"/>
            <w:shd w:val="clear" w:color="auto" w:fill="F7CAAC" w:themeFill="accent2" w:themeFillTint="66"/>
          </w:tcPr>
          <w:p w:rsidR="007C076E" w:rsidRPr="006E37C6" w:rsidRDefault="007C076E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608" w:type="pct"/>
            <w:shd w:val="clear" w:color="auto" w:fill="F7CAAC" w:themeFill="accent2" w:themeFillTint="66"/>
          </w:tcPr>
          <w:p w:rsidR="007C076E" w:rsidRPr="006E37C6" w:rsidRDefault="000139D8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08" w:type="pct"/>
            <w:shd w:val="clear" w:color="auto" w:fill="F7CAAC" w:themeFill="accent2" w:themeFillTint="66"/>
          </w:tcPr>
          <w:p w:rsidR="007C076E" w:rsidRPr="006E37C6" w:rsidRDefault="00D80D89" w:rsidP="0001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0139D8"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26" w:type="pct"/>
            <w:shd w:val="clear" w:color="auto" w:fill="F7CAAC" w:themeFill="accent2" w:themeFillTint="66"/>
          </w:tcPr>
          <w:p w:rsidR="007C076E" w:rsidRPr="006E37C6" w:rsidRDefault="007C076E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C076E" w:rsidRPr="006E37C6" w:rsidRDefault="007C076E">
      <w:pPr>
        <w:rPr>
          <w:rFonts w:ascii="Times New Roman" w:hAnsi="Times New Roman" w:cs="Times New Roman"/>
          <w:sz w:val="24"/>
          <w:szCs w:val="24"/>
        </w:rPr>
      </w:pPr>
      <w:r w:rsidRPr="006E37C6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1"/>
        <w:gridCol w:w="1702"/>
        <w:gridCol w:w="1702"/>
        <w:gridCol w:w="8469"/>
      </w:tblGrid>
      <w:tr w:rsidR="00FB3566" w:rsidRPr="006E37C6" w:rsidTr="007C076E">
        <w:trPr>
          <w:trHeight w:val="315"/>
        </w:trPr>
        <w:tc>
          <w:tcPr>
            <w:tcW w:w="5000" w:type="pct"/>
            <w:gridSpan w:val="4"/>
            <w:shd w:val="clear" w:color="auto" w:fill="B4C6E7" w:themeFill="accent5" w:themeFillTint="66"/>
            <w:vAlign w:val="bottom"/>
            <w:hideMark/>
          </w:tcPr>
          <w:p w:rsidR="000A41B3" w:rsidRPr="006E37C6" w:rsidRDefault="00FB3566" w:rsidP="00FB3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7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br w:type="page"/>
            </w:r>
          </w:p>
          <w:p w:rsidR="00FB3566" w:rsidRPr="006E37C6" w:rsidRDefault="002F4A64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Ziemie dawnej Rzeczpospolitej w latach 1815–1848</w:t>
            </w:r>
            <w:r w:rsidR="007C076E" w:rsidRPr="006E37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0A41B3" w:rsidRPr="006E37C6" w:rsidRDefault="000A41B3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925BE8" w:rsidRPr="006E37C6" w:rsidTr="006E37C6">
        <w:trPr>
          <w:trHeight w:val="1196"/>
        </w:trPr>
        <w:tc>
          <w:tcPr>
            <w:tcW w:w="758" w:type="pct"/>
            <w:shd w:val="clear" w:color="000000" w:fill="FFFFFF"/>
          </w:tcPr>
          <w:p w:rsidR="00925BE8" w:rsidRPr="006E37C6" w:rsidRDefault="00925BE8" w:rsidP="00925B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Ziemie dawnej Rzeczpospolitej w latach 1815–1830 </w:t>
            </w:r>
          </w:p>
        </w:tc>
        <w:tc>
          <w:tcPr>
            <w:tcW w:w="608" w:type="pct"/>
            <w:shd w:val="clear" w:color="000000" w:fill="FFFFFF"/>
          </w:tcPr>
          <w:p w:rsidR="00925BE8" w:rsidRPr="006E37C6" w:rsidRDefault="00925BE8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</w:tcPr>
          <w:p w:rsidR="00925BE8" w:rsidRPr="006E37C6" w:rsidRDefault="00925BE8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</w:tcPr>
          <w:p w:rsidR="00925BE8" w:rsidRPr="006E37C6" w:rsidRDefault="000139D8" w:rsidP="00013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XXXI. Ziemie polskie i ich mieszkańcy w latach 1815–1848.</w:t>
            </w:r>
            <w:r w:rsidR="00F27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A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25BE8" w:rsidRPr="006E37C6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  <w:r w:rsidR="00F27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A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1) charakteryzuje sytuację polityczną, społeczno-gospodarczą i kulturową Królestwa Polskiego, ziem zabranych, zaboru pruskiego i austriackiego.</w:t>
            </w:r>
            <w:r w:rsidR="00F27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A7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25BE8" w:rsidRPr="006E37C6" w:rsidTr="00FB3566">
        <w:trPr>
          <w:trHeight w:val="1686"/>
        </w:trPr>
        <w:tc>
          <w:tcPr>
            <w:tcW w:w="758" w:type="pct"/>
            <w:shd w:val="clear" w:color="000000" w:fill="FFFFFF"/>
          </w:tcPr>
          <w:p w:rsidR="00925BE8" w:rsidRPr="006E37C6" w:rsidRDefault="00925BE8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Powstanie listopadowe</w:t>
            </w:r>
          </w:p>
        </w:tc>
        <w:tc>
          <w:tcPr>
            <w:tcW w:w="608" w:type="pct"/>
            <w:shd w:val="clear" w:color="000000" w:fill="FFFFFF"/>
          </w:tcPr>
          <w:p w:rsidR="00925BE8" w:rsidRPr="006E37C6" w:rsidRDefault="00925BE8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</w:tcPr>
          <w:p w:rsidR="00925BE8" w:rsidRPr="006E37C6" w:rsidRDefault="00925BE8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026" w:type="pct"/>
            <w:shd w:val="clear" w:color="000000" w:fill="FFFFFF"/>
            <w:vAlign w:val="bottom"/>
          </w:tcPr>
          <w:p w:rsidR="00925BE8" w:rsidRPr="006E37C6" w:rsidRDefault="00925BE8" w:rsidP="00F27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XXXI. Ziemie polskie i ich mieszkańcy w latach 1815–1848.</w:t>
            </w:r>
            <w:r w:rsidR="00F27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A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  <w:r w:rsidR="00F27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A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2) wyjaśnia genezę powstania listopadowego i opisuje jego następstwa;</w:t>
            </w:r>
            <w:r w:rsidR="00F27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A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3) opisuje działania władz powstańczych, charakter toczonych walk oraz międzynarodową</w:t>
            </w:r>
            <w:r w:rsidR="000139D8" w:rsidRPr="006E3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reakcję na powstanie.</w:t>
            </w:r>
            <w:r w:rsidR="00F27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A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Uczeń spełnia wymagania określone dla zakresu podstawowego, a ponadto:</w:t>
            </w:r>
            <w:r w:rsidR="00F27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A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1) charakteryzuje ruch spiskowy na ziemiach polskich;</w:t>
            </w:r>
            <w:r w:rsidR="00F27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A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2) prezentuje oceny polskiej historiografii dotyczące powstania listopadowego i roli jego</w:t>
            </w:r>
            <w:r w:rsidR="00F27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przywódców.</w:t>
            </w:r>
            <w:r w:rsidR="00F27A7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25BE8" w:rsidRPr="006E37C6" w:rsidTr="000139D8">
        <w:trPr>
          <w:trHeight w:val="1686"/>
        </w:trPr>
        <w:tc>
          <w:tcPr>
            <w:tcW w:w="758" w:type="pct"/>
            <w:shd w:val="clear" w:color="000000" w:fill="FFFFFF"/>
          </w:tcPr>
          <w:p w:rsidR="00925BE8" w:rsidRPr="006E37C6" w:rsidRDefault="00925BE8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Wielka Emigracja </w:t>
            </w:r>
          </w:p>
        </w:tc>
        <w:tc>
          <w:tcPr>
            <w:tcW w:w="608" w:type="pct"/>
            <w:shd w:val="clear" w:color="000000" w:fill="FFFFFF"/>
          </w:tcPr>
          <w:p w:rsidR="00925BE8" w:rsidRPr="006E37C6" w:rsidRDefault="00925BE8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</w:tcPr>
          <w:p w:rsidR="00925BE8" w:rsidRPr="006E37C6" w:rsidRDefault="00925BE8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</w:tcPr>
          <w:p w:rsidR="00925BE8" w:rsidRPr="006E37C6" w:rsidRDefault="00925BE8" w:rsidP="00013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XXXI. Ziemie polskie i ich mieszkańcy w latach 1815–1848.</w:t>
            </w:r>
            <w:r w:rsidR="00F27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A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  <w:r w:rsidR="00F27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A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2) wyjaśnia genezę powstania listopadowego i opisuje jego następstwa.</w:t>
            </w:r>
            <w:r w:rsidR="00F27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A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Uczeń spełnia wymagania określone dla zakresu podstawowego, a ponadto:</w:t>
            </w:r>
            <w:r w:rsidR="00F27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A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4) porównuje programy głównych obozów Wielkiej Emigracji, rozpoznając ich przedstawicieli.</w:t>
            </w:r>
            <w:r w:rsidR="00F27A7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B3566" w:rsidRPr="006E37C6" w:rsidTr="00FB3566">
        <w:trPr>
          <w:trHeight w:val="1686"/>
        </w:trPr>
        <w:tc>
          <w:tcPr>
            <w:tcW w:w="758" w:type="pct"/>
            <w:shd w:val="clear" w:color="000000" w:fill="FFFFFF"/>
            <w:hideMark/>
          </w:tcPr>
          <w:p w:rsidR="00FB3566" w:rsidRPr="006E37C6" w:rsidRDefault="002F4A64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Powstanie krakowskie. Wiosna Ludów na ziemiach polskich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6E37C6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6E37C6" w:rsidRDefault="00925BE8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:rsidR="002F4A64" w:rsidRPr="006E37C6" w:rsidRDefault="002F4A64" w:rsidP="000C0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XXXI. Ziemie polskie i ich mieszkańcy w latach 1815–1848.</w:t>
            </w:r>
            <w:r w:rsidR="00F27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A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4) wyjaśnia okoliczności wybuchu powstania krakowskiego i opisuje jego skutki,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z uwzględnieniem tzw. rabacji galicyjskiej;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5) opisuje następstwa Wiosny Ludów na ziemiach polskich i przedstawia udział Polaków</w:t>
            </w:r>
            <w:r w:rsidR="000139D8" w:rsidRPr="006E3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w Wiośnie Ludów w Europie.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XXXV. Ziemie polskie pod zaborami w II poł</w:t>
            </w:r>
            <w:r w:rsidR="00FE68FA" w:rsidRPr="006E3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 xml:space="preserve"> XIX i na początku XX wieku.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5) rozpoznaje przejawy odradzania się polskości na Górnym Śląsku, Warmii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Mazurach.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B3566" w:rsidRPr="006E37C6" w:rsidTr="006E37C6">
        <w:trPr>
          <w:trHeight w:val="1880"/>
        </w:trPr>
        <w:tc>
          <w:tcPr>
            <w:tcW w:w="758" w:type="pct"/>
            <w:shd w:val="clear" w:color="000000" w:fill="FFFFFF"/>
            <w:hideMark/>
          </w:tcPr>
          <w:p w:rsidR="00FB3566" w:rsidRPr="006E37C6" w:rsidRDefault="00925BE8" w:rsidP="00925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Społeczeństwo i gospodarka na ziemiach polskich w pierwszej połowie XIX w.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6E37C6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6E37C6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hideMark/>
          </w:tcPr>
          <w:p w:rsidR="007517FD" w:rsidRPr="006E37C6" w:rsidRDefault="00925BE8" w:rsidP="00FE6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XXXI. Ziemie polskie i ich mieszkańcy w latach 1815–1848.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1) charakteryzuje sytuację polityczną, społeczno-gospodarczą i kulturową Królestwa Polskiego,</w:t>
            </w:r>
            <w:r w:rsidR="00FE68FA" w:rsidRPr="006E3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ziem zabranych, zaboru pruskiego i austriackiego.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Uczeń spełnia wymagania określone dla zakresu podstawowego, a ponadto: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 xml:space="preserve">3) wyjaśnia przyczyny i charakter przemian społecznych i gospodarczych na ziemiach polskich w </w:t>
            </w:r>
            <w:r w:rsidR="00FE68FA" w:rsidRPr="006E37C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 xml:space="preserve"> poł</w:t>
            </w:r>
            <w:r w:rsidR="00FE68FA" w:rsidRPr="006E3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 xml:space="preserve"> XIX wieku.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230D2" w:rsidRPr="006E37C6" w:rsidTr="006E37C6">
        <w:trPr>
          <w:trHeight w:val="1268"/>
        </w:trPr>
        <w:tc>
          <w:tcPr>
            <w:tcW w:w="758" w:type="pct"/>
            <w:shd w:val="clear" w:color="000000" w:fill="FFFFFF"/>
          </w:tcPr>
          <w:p w:rsidR="001230D2" w:rsidRPr="006E37C6" w:rsidRDefault="00925BE8" w:rsidP="00FE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Kultura na ziemiach dawnej Rzeczpospolitej w</w:t>
            </w:r>
            <w:r w:rsidR="00FE68FA"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pierwszej połowie XIX w.</w:t>
            </w:r>
          </w:p>
        </w:tc>
        <w:tc>
          <w:tcPr>
            <w:tcW w:w="608" w:type="pct"/>
            <w:shd w:val="clear" w:color="000000" w:fill="FFFFFF"/>
          </w:tcPr>
          <w:p w:rsidR="001230D2" w:rsidRPr="006E37C6" w:rsidRDefault="001230D2" w:rsidP="0012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</w:tcPr>
          <w:p w:rsidR="001230D2" w:rsidRPr="006E37C6" w:rsidRDefault="00925BE8" w:rsidP="0012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</w:tcPr>
          <w:p w:rsidR="001230D2" w:rsidRPr="006E37C6" w:rsidRDefault="00925BE8" w:rsidP="00FE6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XXXI. Ziemie polskie i ich mieszkańcy w latach 1815–1848.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E68FA" w:rsidRPr="006E37C6">
              <w:rPr>
                <w:rFonts w:ascii="Times New Roman" w:hAnsi="Times New Roman" w:cs="Times New Roman"/>
                <w:sz w:val="24"/>
                <w:szCs w:val="24"/>
              </w:rPr>
              <w:t>6) rozpoznaje i charakteryzuje dorobek kultury polskiej I poł. XIX w.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Uczeń spełnia wymagania określone dla zakresu podstawowego, a ponadto: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5) charakteryzuje różnice między</w:t>
            </w:r>
            <w:r w:rsidR="00FE68FA" w:rsidRPr="006E3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klasycyzmem i romantyzmem.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076E" w:rsidRPr="006E37C6" w:rsidTr="007C076E">
        <w:trPr>
          <w:trHeight w:val="242"/>
        </w:trPr>
        <w:tc>
          <w:tcPr>
            <w:tcW w:w="758" w:type="pct"/>
            <w:shd w:val="clear" w:color="auto" w:fill="F7CAAC" w:themeFill="accent2" w:themeFillTint="66"/>
          </w:tcPr>
          <w:p w:rsidR="007C076E" w:rsidRPr="006E37C6" w:rsidRDefault="007C076E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608" w:type="pct"/>
            <w:shd w:val="clear" w:color="auto" w:fill="F7CAAC" w:themeFill="accent2" w:themeFillTint="66"/>
          </w:tcPr>
          <w:p w:rsidR="007C076E" w:rsidRPr="006E37C6" w:rsidRDefault="00FE68FA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08" w:type="pct"/>
            <w:shd w:val="clear" w:color="auto" w:fill="F7CAAC" w:themeFill="accent2" w:themeFillTint="66"/>
          </w:tcPr>
          <w:p w:rsidR="007C076E" w:rsidRPr="006E37C6" w:rsidRDefault="00B82A94" w:rsidP="00FE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FE68FA"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026" w:type="pct"/>
            <w:shd w:val="clear" w:color="auto" w:fill="F7CAAC" w:themeFill="accent2" w:themeFillTint="66"/>
            <w:vAlign w:val="bottom"/>
          </w:tcPr>
          <w:p w:rsidR="007C076E" w:rsidRPr="006E37C6" w:rsidRDefault="007C076E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FB3566" w:rsidRPr="006E37C6" w:rsidRDefault="00FB3566">
      <w:pPr>
        <w:rPr>
          <w:rFonts w:ascii="Times New Roman" w:hAnsi="Times New Roman" w:cs="Times New Roman"/>
          <w:sz w:val="24"/>
          <w:szCs w:val="24"/>
        </w:rPr>
      </w:pPr>
      <w:r w:rsidRPr="006E37C6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1"/>
        <w:gridCol w:w="1702"/>
        <w:gridCol w:w="1702"/>
        <w:gridCol w:w="8469"/>
      </w:tblGrid>
      <w:tr w:rsidR="00FB3566" w:rsidRPr="006E37C6" w:rsidTr="007C076E">
        <w:trPr>
          <w:trHeight w:val="315"/>
        </w:trPr>
        <w:tc>
          <w:tcPr>
            <w:tcW w:w="5000" w:type="pct"/>
            <w:gridSpan w:val="4"/>
            <w:shd w:val="clear" w:color="auto" w:fill="B4C6E7" w:themeFill="accent5" w:themeFillTint="66"/>
            <w:vAlign w:val="bottom"/>
            <w:hideMark/>
          </w:tcPr>
          <w:p w:rsidR="00B82A94" w:rsidRPr="006E37C6" w:rsidRDefault="00B82A94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FB3566" w:rsidRPr="006E37C6" w:rsidRDefault="00FE68FA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Europa i świat w drugiej połowie XIX i na początku XX w.</w:t>
            </w:r>
          </w:p>
          <w:p w:rsidR="00B82A94" w:rsidRPr="006E37C6" w:rsidRDefault="00B82A94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FE68FA" w:rsidRPr="006E37C6" w:rsidTr="00FE68FA">
        <w:trPr>
          <w:trHeight w:val="1253"/>
        </w:trPr>
        <w:tc>
          <w:tcPr>
            <w:tcW w:w="758" w:type="pct"/>
            <w:shd w:val="clear" w:color="000000" w:fill="FFFFFF"/>
            <w:hideMark/>
          </w:tcPr>
          <w:p w:rsidR="00FE68FA" w:rsidRPr="006E37C6" w:rsidRDefault="00FE68FA" w:rsidP="00FE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Wojna krymska</w:t>
            </w:r>
          </w:p>
          <w:p w:rsidR="00FE68FA" w:rsidRPr="006E37C6" w:rsidRDefault="00FE68FA" w:rsidP="00FE6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08" w:type="pct"/>
            <w:shd w:val="clear" w:color="000000" w:fill="FFFFFF"/>
            <w:hideMark/>
          </w:tcPr>
          <w:p w:rsidR="00FE68FA" w:rsidRPr="006E37C6" w:rsidRDefault="00FE68FA" w:rsidP="00FE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E68FA" w:rsidRPr="006E37C6" w:rsidRDefault="00FE68FA" w:rsidP="00FE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hideMark/>
          </w:tcPr>
          <w:p w:rsidR="00FE68FA" w:rsidRPr="006E37C6" w:rsidRDefault="00FE68FA" w:rsidP="00FE6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XXX. Europa i świat po kongresie wiedeńskim.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6) charakteryzuje wojnę krymską i jej następstwa.</w:t>
            </w: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</w:p>
        </w:tc>
      </w:tr>
      <w:tr w:rsidR="00FB3566" w:rsidRPr="006E37C6" w:rsidTr="00FB3566">
        <w:trPr>
          <w:trHeight w:val="1419"/>
        </w:trPr>
        <w:tc>
          <w:tcPr>
            <w:tcW w:w="758" w:type="pct"/>
            <w:shd w:val="clear" w:color="000000" w:fill="FFFFFF"/>
            <w:hideMark/>
          </w:tcPr>
          <w:p w:rsidR="00FB3566" w:rsidRPr="006E37C6" w:rsidRDefault="00FE68FA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Wojna secesyjna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6E37C6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6E37C6" w:rsidRDefault="00FE68FA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:rsidR="00FE68FA" w:rsidRPr="006E37C6" w:rsidRDefault="00FE68FA" w:rsidP="00FE6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XXXIII. Europa i świat w II połowie XIX i na początku XX wieku.</w:t>
            </w: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proofErr w:type="spellStart"/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Uczen</w:t>
            </w:r>
            <w:proofErr w:type="spellEnd"/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́:</w:t>
            </w:r>
            <w:r w:rsidR="00FB3566"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2) wyjaśnia przyczyny i skutki wojny secesyjnej w Stanach Zjednoczonych.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D0CFE" w:rsidRPr="006E37C6" w:rsidRDefault="000D0CFE" w:rsidP="00FE6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3566" w:rsidRPr="006E37C6" w:rsidTr="00FE68FA">
        <w:trPr>
          <w:trHeight w:val="1445"/>
        </w:trPr>
        <w:tc>
          <w:tcPr>
            <w:tcW w:w="758" w:type="pct"/>
            <w:shd w:val="clear" w:color="000000" w:fill="FFFFFF"/>
            <w:hideMark/>
          </w:tcPr>
          <w:p w:rsidR="00FB3566" w:rsidRPr="006E37C6" w:rsidRDefault="00FE68FA" w:rsidP="000D0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Zjednoczenie Włoch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6E37C6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6E37C6" w:rsidRDefault="00FE68FA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26" w:type="pct"/>
            <w:shd w:val="clear" w:color="000000" w:fill="FFFFFF"/>
            <w:hideMark/>
          </w:tcPr>
          <w:p w:rsidR="000D0CFE" w:rsidRPr="006E37C6" w:rsidRDefault="00FE68FA" w:rsidP="00FE6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XXXIII. Europa i świat w II połowie XIX i na początku XX wieku.</w:t>
            </w: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proofErr w:type="spellStart"/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Uczen</w:t>
            </w:r>
            <w:proofErr w:type="spellEnd"/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́:</w:t>
            </w:r>
            <w:r w:rsidR="00FB3566"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1) porównuje procesy zjednoczeniowe Włoch i Niemiec w XIX w.</w:t>
            </w:r>
            <w:r w:rsidR="000D0CFE" w:rsidRPr="006E37C6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br/>
            </w:r>
          </w:p>
        </w:tc>
      </w:tr>
      <w:tr w:rsidR="00FB3566" w:rsidRPr="006E37C6" w:rsidTr="00FB3566">
        <w:trPr>
          <w:trHeight w:val="1373"/>
        </w:trPr>
        <w:tc>
          <w:tcPr>
            <w:tcW w:w="758" w:type="pct"/>
            <w:shd w:val="clear" w:color="000000" w:fill="FFFFFF"/>
            <w:hideMark/>
          </w:tcPr>
          <w:p w:rsidR="00FB3566" w:rsidRPr="006E37C6" w:rsidRDefault="00FE68FA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Zjednoczenie Niemiec. Powstanie Austro-Węgier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6E37C6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6E37C6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:rsidR="008E4727" w:rsidRPr="006E37C6" w:rsidRDefault="008E4727" w:rsidP="008E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XXXIII. Europa i świat w II połowie XIX i na początku XX wieku.</w:t>
            </w: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proofErr w:type="spellStart"/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Uczen</w:t>
            </w:r>
            <w:proofErr w:type="spellEnd"/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́:</w:t>
            </w: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1) porównuje procesy zjednoczeniowe Włoch i Niemiec w XIX w.</w:t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D04636" w:rsidRPr="006E37C6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Uczen</w:t>
            </w:r>
            <w:proofErr w:type="spellEnd"/>
            <w:r w:rsidR="00D04636" w:rsidRPr="006E37C6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 xml:space="preserve">́ spełnia wymagania </w:t>
            </w:r>
            <w:proofErr w:type="spellStart"/>
            <w:r w:rsidR="00D04636" w:rsidRPr="006E37C6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określone</w:t>
            </w:r>
            <w:proofErr w:type="spellEnd"/>
            <w:r w:rsidR="00D04636" w:rsidRPr="006E37C6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 xml:space="preserve"> dla zakresu podstawowego, a ponadto:</w:t>
            </w:r>
            <w:r w:rsidR="00D04636" w:rsidRPr="006E37C6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1) charakteryzuje podział polityczny świata u schyłku XIX w.;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2) przedstawia reformy wewnętrzne w państwach zaborczych w II połowie XIX i na początku XX wieku.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B3566" w:rsidRPr="006E37C6" w:rsidTr="006E37C6">
        <w:trPr>
          <w:trHeight w:val="1880"/>
        </w:trPr>
        <w:tc>
          <w:tcPr>
            <w:tcW w:w="758" w:type="pct"/>
            <w:shd w:val="clear" w:color="000000" w:fill="FFFFFF"/>
            <w:hideMark/>
          </w:tcPr>
          <w:p w:rsidR="00FB3566" w:rsidRPr="006E37C6" w:rsidRDefault="008E4727" w:rsidP="008E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Kolonializm w drugiej połowie XIX w.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6E37C6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6E37C6" w:rsidRDefault="008E4727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hideMark/>
          </w:tcPr>
          <w:p w:rsidR="00A4667C" w:rsidRPr="006E37C6" w:rsidRDefault="008E4727" w:rsidP="008E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XXXIII. Europa i świat w II połowie XIX i na początku XX wieku.</w:t>
            </w: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proofErr w:type="spellStart"/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Uczen</w:t>
            </w:r>
            <w:proofErr w:type="spellEnd"/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́:</w:t>
            </w: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3) omawia przyczyny, zasięg i następstwa ekspansji kolonialnej państw europejskich, Stanów Zjednoczonych i Japonii.</w:t>
            </w:r>
            <w:r w:rsidR="002F6D0E" w:rsidRPr="006E3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D0E" w:rsidRPr="006E37C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B3566" w:rsidRPr="006E37C6" w:rsidTr="008E4727">
        <w:trPr>
          <w:trHeight w:val="1976"/>
        </w:trPr>
        <w:tc>
          <w:tcPr>
            <w:tcW w:w="758" w:type="pct"/>
            <w:shd w:val="clear" w:color="000000" w:fill="FFFFFF"/>
            <w:hideMark/>
          </w:tcPr>
          <w:p w:rsidR="00FB3566" w:rsidRPr="006E37C6" w:rsidRDefault="008E4727" w:rsidP="00A46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Nowe mocarstwa kolonialne i rywalizacja na Dalekim Wschodzie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6E37C6" w:rsidRDefault="00A4667C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6E37C6" w:rsidRDefault="008E4727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026" w:type="pct"/>
            <w:shd w:val="clear" w:color="000000" w:fill="FFFFFF"/>
            <w:hideMark/>
          </w:tcPr>
          <w:p w:rsidR="00A4667C" w:rsidRPr="006E37C6" w:rsidRDefault="008E4727" w:rsidP="008E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XXXIII. Europa i świat w II połowie XIX i na początku XX wieku.</w:t>
            </w: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proofErr w:type="spellStart"/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Uczen</w:t>
            </w:r>
            <w:proofErr w:type="spellEnd"/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́:</w:t>
            </w: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3) omawia przyczyny, zasięg i następstwa ekspansji kolonialnej państw europejskich, Stanów Zjednoczonych i Japonii.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A4667C"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Uczen</w:t>
            </w:r>
            <w:proofErr w:type="spellEnd"/>
            <w:r w:rsidR="00A4667C"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́ spełnia wymagania </w:t>
            </w:r>
            <w:proofErr w:type="spellStart"/>
            <w:r w:rsidR="00A4667C"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określone</w:t>
            </w:r>
            <w:proofErr w:type="spellEnd"/>
            <w:r w:rsidR="00A4667C"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 zakresu podstawowego, a ponadto:</w:t>
            </w:r>
            <w:r w:rsidR="000C0F34" w:rsidRP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 w:rsidRP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3) charakteryzuje proces modernizacji Japonii.</w:t>
            </w:r>
          </w:p>
        </w:tc>
      </w:tr>
      <w:tr w:rsidR="00A4667C" w:rsidRPr="006E37C6" w:rsidTr="008E4727">
        <w:trPr>
          <w:trHeight w:val="70"/>
        </w:trPr>
        <w:tc>
          <w:tcPr>
            <w:tcW w:w="758" w:type="pct"/>
            <w:shd w:val="clear" w:color="000000" w:fill="FFFFFF"/>
          </w:tcPr>
          <w:p w:rsidR="00A4667C" w:rsidRPr="006E37C6" w:rsidRDefault="008E4727" w:rsidP="008E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Przemiany gospodarcze i społeczne w drugiej połowie XIX i na początku XX w.</w:t>
            </w:r>
          </w:p>
        </w:tc>
        <w:tc>
          <w:tcPr>
            <w:tcW w:w="608" w:type="pct"/>
            <w:shd w:val="clear" w:color="000000" w:fill="FFFFFF"/>
          </w:tcPr>
          <w:p w:rsidR="00A4667C" w:rsidRPr="006E37C6" w:rsidRDefault="008E4727" w:rsidP="00A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</w:tcPr>
          <w:p w:rsidR="00A4667C" w:rsidRPr="006E37C6" w:rsidRDefault="008E4727" w:rsidP="00A4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026" w:type="pct"/>
            <w:shd w:val="clear" w:color="000000" w:fill="FFFFFF"/>
          </w:tcPr>
          <w:p w:rsidR="00453A08" w:rsidRPr="006E37C6" w:rsidRDefault="008E4727" w:rsidP="008E4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XXXIV. Przemiany gospodarcze i społeczne. Nowe prądy ideowe.</w:t>
            </w:r>
            <w:r w:rsidR="002F6D0E" w:rsidRPr="006E3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D0E" w:rsidRPr="006E37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  <w:r w:rsidR="002F6D0E" w:rsidRPr="006E3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D0E" w:rsidRPr="006E37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1) przedstawia przemiany gospodarcze w Europie i świecie, wymienia najważniejsze odkrycia naukowe i dokonania techniczne; charakteryzuje procesy migracyjne.</w:t>
            </w:r>
            <w:r w:rsidR="002F6D0E" w:rsidRPr="006E3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D0E" w:rsidRPr="006E37C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B3566" w:rsidRPr="006E37C6" w:rsidTr="008E4727">
        <w:trPr>
          <w:trHeight w:val="1454"/>
        </w:trPr>
        <w:tc>
          <w:tcPr>
            <w:tcW w:w="758" w:type="pct"/>
            <w:shd w:val="clear" w:color="000000" w:fill="FFFFFF"/>
            <w:hideMark/>
          </w:tcPr>
          <w:p w:rsidR="00FB3566" w:rsidRPr="006E37C6" w:rsidRDefault="008E4727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Prądy kulturowe i ideowe w drugiej połowie XIX i na początku XX w.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6E37C6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6E37C6" w:rsidRDefault="008E4727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026" w:type="pct"/>
            <w:shd w:val="clear" w:color="000000" w:fill="FFFFFF"/>
            <w:hideMark/>
          </w:tcPr>
          <w:p w:rsidR="00882FE9" w:rsidRPr="006E37C6" w:rsidRDefault="008E4727" w:rsidP="002F6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XXXIV. Przemiany gospodarcze i społeczne. Nowe prądy ideowe.</w:t>
            </w:r>
            <w:r w:rsidR="002F6D0E" w:rsidRPr="006E37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2) charakteryzuje nowe prądy ideowe i kulturowe, ruch emancypacyjny kobiet, przemiany obyczajowe i początki kultury masowej;</w:t>
            </w:r>
            <w:r w:rsidR="002F6D0E" w:rsidRPr="006E37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3) wyjaśnia procesy demokratyzacji ustrojów państw Europy Zachodniej;</w:t>
            </w:r>
            <w:r w:rsidR="002F6D0E" w:rsidRPr="006E37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4) charakteryzuje różne formy zorganizowanej działalności robotników.</w:t>
            </w:r>
            <w:r w:rsidR="002F6D0E" w:rsidRPr="006E37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FB3566" w:rsidRPr="006E37C6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Uczen</w:t>
            </w:r>
            <w:proofErr w:type="spellEnd"/>
            <w:r w:rsidR="00FB3566" w:rsidRPr="006E37C6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 xml:space="preserve">́ spełnia wymagania </w:t>
            </w:r>
            <w:proofErr w:type="spellStart"/>
            <w:r w:rsidR="00FB3566" w:rsidRPr="006E37C6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określone</w:t>
            </w:r>
            <w:proofErr w:type="spellEnd"/>
            <w:r w:rsidR="00FB3566" w:rsidRPr="006E37C6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 xml:space="preserve"> dla zakresu podstawowego, a ponadto:</w:t>
            </w:r>
            <w:r w:rsidR="002F6D0E" w:rsidRPr="006E37C6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1) rozpoznaje wybitnych teoretyków i działaczy nowych ideologii; opisuje ich dokonania;</w:t>
            </w:r>
            <w:r w:rsidR="002F6D0E" w:rsidRPr="006E37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2) wyjaśnia związki ideologii z ruchami narodowowyzwoleńczymi i zjednoczeniowymi, z działalnością partii politycznych oraz związków zawodowych;</w:t>
            </w:r>
            <w:r w:rsidR="002F6D0E" w:rsidRPr="006E3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D0E" w:rsidRPr="006E37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3) charakteryzuje odrodzenie się idei sportu olimpijskiego.</w:t>
            </w:r>
            <w:r w:rsidR="00FB3566" w:rsidRPr="006E37C6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br/>
            </w:r>
          </w:p>
        </w:tc>
      </w:tr>
      <w:tr w:rsidR="007C076E" w:rsidRPr="006E37C6" w:rsidTr="007C076E">
        <w:trPr>
          <w:trHeight w:val="264"/>
        </w:trPr>
        <w:tc>
          <w:tcPr>
            <w:tcW w:w="758" w:type="pct"/>
            <w:shd w:val="clear" w:color="auto" w:fill="F7CAAC" w:themeFill="accent2" w:themeFillTint="66"/>
          </w:tcPr>
          <w:p w:rsidR="007C076E" w:rsidRPr="006E37C6" w:rsidRDefault="007C076E" w:rsidP="007C0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608" w:type="pct"/>
            <w:shd w:val="clear" w:color="auto" w:fill="F7CAAC" w:themeFill="accent2" w:themeFillTint="66"/>
          </w:tcPr>
          <w:p w:rsidR="007C076E" w:rsidRPr="006E37C6" w:rsidRDefault="002F6D0E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608" w:type="pct"/>
            <w:shd w:val="clear" w:color="auto" w:fill="F7CAAC" w:themeFill="accent2" w:themeFillTint="66"/>
          </w:tcPr>
          <w:p w:rsidR="007C076E" w:rsidRPr="006E37C6" w:rsidRDefault="00E167FF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026" w:type="pct"/>
            <w:shd w:val="clear" w:color="auto" w:fill="F7CAAC" w:themeFill="accent2" w:themeFillTint="66"/>
            <w:vAlign w:val="bottom"/>
          </w:tcPr>
          <w:p w:rsidR="007C076E" w:rsidRPr="006E37C6" w:rsidRDefault="007C076E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7C076E" w:rsidRPr="006E37C6" w:rsidRDefault="007C076E">
      <w:pPr>
        <w:rPr>
          <w:rFonts w:ascii="Times New Roman" w:hAnsi="Times New Roman" w:cs="Times New Roman"/>
          <w:sz w:val="24"/>
          <w:szCs w:val="24"/>
        </w:rPr>
      </w:pPr>
      <w:r w:rsidRPr="006E37C6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1"/>
        <w:gridCol w:w="1702"/>
        <w:gridCol w:w="1702"/>
        <w:gridCol w:w="8469"/>
      </w:tblGrid>
      <w:tr w:rsidR="00FB3566" w:rsidRPr="006E37C6" w:rsidTr="007C076E">
        <w:trPr>
          <w:trHeight w:val="315"/>
        </w:trPr>
        <w:tc>
          <w:tcPr>
            <w:tcW w:w="5000" w:type="pct"/>
            <w:gridSpan w:val="4"/>
            <w:shd w:val="clear" w:color="auto" w:fill="B4C6E7" w:themeFill="accent5" w:themeFillTint="66"/>
            <w:vAlign w:val="bottom"/>
            <w:hideMark/>
          </w:tcPr>
          <w:p w:rsidR="00E167FF" w:rsidRPr="006E37C6" w:rsidRDefault="00E167FF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FB3566" w:rsidRPr="006E37C6" w:rsidRDefault="002F6D0E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Ziemie polskie w drugiej połowie XIX i na początku XX w.</w:t>
            </w:r>
          </w:p>
          <w:p w:rsidR="00E167FF" w:rsidRPr="006E37C6" w:rsidRDefault="00E167FF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FB3566" w:rsidRPr="006E37C6" w:rsidTr="002F6D0E">
        <w:trPr>
          <w:trHeight w:val="1812"/>
        </w:trPr>
        <w:tc>
          <w:tcPr>
            <w:tcW w:w="758" w:type="pct"/>
            <w:shd w:val="clear" w:color="000000" w:fill="FFFFFF"/>
            <w:hideMark/>
          </w:tcPr>
          <w:p w:rsidR="00FB3566" w:rsidRPr="006E37C6" w:rsidRDefault="002F6D0E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Powstanie styczniowe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6E37C6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6E37C6" w:rsidRDefault="002F6D0E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026" w:type="pct"/>
            <w:shd w:val="clear" w:color="000000" w:fill="FFFFFF"/>
            <w:hideMark/>
          </w:tcPr>
          <w:p w:rsidR="00E167FF" w:rsidRPr="006E37C6" w:rsidRDefault="002F6D0E" w:rsidP="002F6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XXXII. Powstanie styczniowe i jego następstwa.</w:t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wyjaśnia genezę powstania styczniowego i opisuje jego następstwa; </w:t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opisuje działania władz powstańczych, charakter toczonych walk oraz międzynarodową reakcję na powstanie; </w:t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br/>
              <w:t>3) charakteryzuje organizację polskiego państwa podziemnego w okresie powstania styczniowego, z uwzględnieniem roli jego przywódców, w tym Romualda Traugutta;</w:t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br/>
              <w:t>4) przedstawia problem uwłaszczenia chłopów w zaborze rosyjskim oraz porównuje z procesem uwłaszczeniowym w pozostałych zaborach.</w:t>
            </w:r>
            <w:r w:rsidR="00FB3566"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proofErr w:type="spellStart"/>
            <w:r w:rsidR="00FB3566" w:rsidRPr="006E37C6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Uczen</w:t>
            </w:r>
            <w:proofErr w:type="spellEnd"/>
            <w:r w:rsidR="00FB3566" w:rsidRPr="006E37C6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 xml:space="preserve">́ spełnia wymagania </w:t>
            </w:r>
            <w:proofErr w:type="spellStart"/>
            <w:r w:rsidR="00FB3566" w:rsidRPr="006E37C6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określone</w:t>
            </w:r>
            <w:proofErr w:type="spellEnd"/>
            <w:r w:rsidR="00FB3566" w:rsidRPr="006E37C6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 xml:space="preserve"> dla zakresu podstawowego, a ponadto</w:t>
            </w:r>
            <w:r w:rsidR="00814194" w:rsidRPr="006E37C6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:</w:t>
            </w:r>
            <w:r w:rsidR="00FB3566" w:rsidRPr="006E37C6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1) ocenia znaczenie powstania styczniowego dla kształtowania się nowoczesnego narodu polskiego;</w:t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br/>
              <w:t>2) opisuje przykłady działalności Polaków w czasie zesłania na Syberii.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B3566" w:rsidRPr="006E37C6" w:rsidTr="00FB3566">
        <w:trPr>
          <w:trHeight w:val="930"/>
        </w:trPr>
        <w:tc>
          <w:tcPr>
            <w:tcW w:w="758" w:type="pct"/>
            <w:shd w:val="clear" w:color="000000" w:fill="FFFFFF"/>
            <w:hideMark/>
          </w:tcPr>
          <w:p w:rsidR="00FB3566" w:rsidRPr="006E37C6" w:rsidRDefault="002F6D0E" w:rsidP="002F6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Królestwo Polskie i ziemie zabrane po powstaniu styczniowym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6E37C6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6E37C6" w:rsidRDefault="00814194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:rsidR="00814194" w:rsidRPr="006E37C6" w:rsidRDefault="002F6D0E" w:rsidP="00814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XXXV. Ziemie polskie pod zaborami w II połowie XIX i na początku XX wieku.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1) wyjaśnia cele i porównuje metody polityki zaborców wobec mieszkańców ziem dawnej Rzeczypospolitej (w tym ziem zabranych) – rusyfikacja, germanizacja, autonomia galicyjska;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3) charakteryzuje postawy społeczeństwa polskiego w stosunku do zaborców;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4) charakteryzuje proces formowania się nowoczesnej świadomości narodowej Polaków i innych grup narodowych zamieszkujących tereny dawnej Rzeczypospolitej; dostrzega znaczenie języka, wiary, edukacji dla podtrzymania świadomoś</w:t>
            </w:r>
            <w:r w:rsidR="00FF2F98" w:rsidRPr="006E37C6">
              <w:rPr>
                <w:rFonts w:ascii="Times New Roman" w:hAnsi="Times New Roman" w:cs="Times New Roman"/>
                <w:sz w:val="24"/>
                <w:szCs w:val="24"/>
              </w:rPr>
              <w:t xml:space="preserve">ci </w:t>
            </w:r>
            <w:r w:rsidR="00FF2F98" w:rsidRPr="000C0F34">
              <w:rPr>
                <w:rFonts w:ascii="Times New Roman" w:hAnsi="Times New Roman" w:cs="Times New Roman"/>
                <w:sz w:val="24"/>
                <w:szCs w:val="24"/>
              </w:rPr>
              <w:t>narodowej.</w:t>
            </w:r>
            <w:r w:rsidR="000C0F34" w:rsidRP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 w:rsidRP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814194"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Uczen</w:t>
            </w:r>
            <w:proofErr w:type="spellEnd"/>
            <w:r w:rsidR="00814194"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́ spełnia wymagania </w:t>
            </w:r>
            <w:proofErr w:type="spellStart"/>
            <w:r w:rsidR="00814194"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określone</w:t>
            </w:r>
            <w:proofErr w:type="spellEnd"/>
            <w:r w:rsidR="00814194"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 zakresu podstawowego, a ponadto:</w:t>
            </w:r>
            <w:r w:rsidR="000C0F34" w:rsidRP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 w:rsidRP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2) charakteryzuje nowe klasy i warstwy społeczne.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B3566" w:rsidRPr="006E37C6" w:rsidTr="00FB3566">
        <w:trPr>
          <w:trHeight w:val="1373"/>
        </w:trPr>
        <w:tc>
          <w:tcPr>
            <w:tcW w:w="758" w:type="pct"/>
            <w:shd w:val="clear" w:color="000000" w:fill="FFFFFF"/>
            <w:hideMark/>
          </w:tcPr>
          <w:p w:rsidR="00FB3566" w:rsidRPr="006E37C6" w:rsidRDefault="00CE06E1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Ziemie zaborów austriackiego i </w:t>
            </w:r>
            <w:r w:rsidR="002F6D0E"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pruskiego po powstaniu styczniowym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6E37C6" w:rsidRDefault="00814194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6E37C6" w:rsidRDefault="00FF2F98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:rsidR="00814194" w:rsidRPr="006E37C6" w:rsidRDefault="00FF2F98" w:rsidP="002F6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XXXV. Ziemie polskie pod zaborami w II połowie XIX i na początku XX wieku.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1) wyjaśnia cele i porównuje metody polityki zaborców wobec mieszkańców ziem dawnej Rzeczypospolitej (w tym ziem zabranych) – rusyfikacja, germanizacja, autonomia galicyjska;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charakteryzuje postawy społeczeństwa polskiego w stosunku do zaborców;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4) charakteryzuje proces formowania się nowoczesnej świadomości narodowej Polaków i innych grup narodowych zamieszkujących tereny dawnej Rzeczypospolitej; dostrzega znaczenie języka, wiary, edukacji dla podtrzymania świadomości narodowej.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B3566" w:rsidRPr="006E37C6" w:rsidTr="001829AD">
        <w:trPr>
          <w:trHeight w:val="887"/>
        </w:trPr>
        <w:tc>
          <w:tcPr>
            <w:tcW w:w="758" w:type="pct"/>
            <w:shd w:val="clear" w:color="000000" w:fill="FFFFFF"/>
            <w:hideMark/>
          </w:tcPr>
          <w:p w:rsidR="00FB3566" w:rsidRPr="006E37C6" w:rsidRDefault="00FF2F98" w:rsidP="00FF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Przemiany gospodarcze i społeczne na ziemiach polskich w drugiej połowie XIX w.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6E37C6" w:rsidRDefault="0043281F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6E37C6" w:rsidRDefault="00FF2F98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:rsidR="0043281F" w:rsidRPr="006E37C6" w:rsidRDefault="00FF2F98" w:rsidP="000C0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XXXV. Ziemie polskie pod zaborami w II połowie XIX i na początku XX wieku.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2) porównuje zmiany zachodzące w sytuacji społeczno-gospodarczej w trzech zaborach.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3281F" w:rsidRPr="006E37C6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Uczen</w:t>
            </w:r>
            <w:proofErr w:type="spellEnd"/>
            <w:r w:rsidR="0043281F" w:rsidRPr="006E37C6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 xml:space="preserve">́ spełnia wymagania </w:t>
            </w:r>
            <w:proofErr w:type="spellStart"/>
            <w:r w:rsidR="0043281F" w:rsidRPr="006E37C6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określone</w:t>
            </w:r>
            <w:proofErr w:type="spellEnd"/>
            <w:r w:rsidR="0043281F" w:rsidRPr="006E37C6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 xml:space="preserve"> dla zakresu podstawowego, a ponadto: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1) charakteryzuje rozwój przemysłowy ziem polskich, z uwzględnieniem urbanizacji;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2) charakteryzuje nowe klasy i warstwy społeczne.</w:t>
            </w:r>
            <w:r w:rsidR="0043281F" w:rsidRPr="006E37C6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br/>
            </w:r>
            <w:r w:rsidR="000C0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FB3566" w:rsidRPr="006E37C6" w:rsidTr="00FF2F98">
        <w:trPr>
          <w:trHeight w:val="2500"/>
        </w:trPr>
        <w:tc>
          <w:tcPr>
            <w:tcW w:w="758" w:type="pct"/>
            <w:shd w:val="clear" w:color="000000" w:fill="FFFFFF"/>
            <w:hideMark/>
          </w:tcPr>
          <w:p w:rsidR="00FB3566" w:rsidRPr="006E37C6" w:rsidRDefault="00FF2F98" w:rsidP="00FF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Ruchy polityczne na ziemiach polskich w drugiej połowie XIX i na początku XX w.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6E37C6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6E37C6" w:rsidRDefault="00FF2F98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026" w:type="pct"/>
            <w:shd w:val="clear" w:color="000000" w:fill="FFFFFF"/>
            <w:hideMark/>
          </w:tcPr>
          <w:p w:rsidR="0043281F" w:rsidRPr="006E37C6" w:rsidRDefault="00FF2F98" w:rsidP="00FF2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XXXV. Ziemie polskie pod zaborami w II połowie XIX i na początku XX wieku.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6) przedstawia genezę nowoczesnych ruchów politycznych (socjalizm, ruch ludowy, ruch narodowy), z uwzględnieniem ich przedstawicieli, w tym: Wincentego Witosa, Ignacego Daszyńskiego, Romana Dmowskiego, Józefa Piłsudskiego i Wojciecha Korfantego.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FB3566" w:rsidRPr="006E37C6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Uczen</w:t>
            </w:r>
            <w:proofErr w:type="spellEnd"/>
            <w:r w:rsidR="00FB3566" w:rsidRPr="006E37C6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 xml:space="preserve">́ spełnia wymagania </w:t>
            </w:r>
            <w:proofErr w:type="spellStart"/>
            <w:r w:rsidR="00FB3566" w:rsidRPr="006E37C6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określone</w:t>
            </w:r>
            <w:proofErr w:type="spellEnd"/>
            <w:r w:rsidR="00FB3566" w:rsidRPr="006E37C6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 xml:space="preserve"> dla za</w:t>
            </w:r>
            <w:r w:rsidR="002F6D0E" w:rsidRPr="006E37C6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t>kresu podstawowego, a ponadto:</w:t>
            </w:r>
            <w:r w:rsidR="002F6D0E" w:rsidRPr="006E37C6">
              <w:rPr>
                <w:rFonts w:ascii="Times New Roman" w:eastAsia="Times New Roman" w:hAnsi="Times New Roman" w:cs="Times New Roman"/>
                <w:color w:val="660033"/>
                <w:sz w:val="24"/>
                <w:szCs w:val="24"/>
                <w:lang w:eastAsia="pl-PL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3) porównuje programy nowoczesnych ruchów politycznych; charakteryzuje dokonania najważniejszych przedstawicieli tych ruchów.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B3566" w:rsidRPr="006E37C6" w:rsidTr="00FF2F98">
        <w:trPr>
          <w:trHeight w:val="2446"/>
        </w:trPr>
        <w:tc>
          <w:tcPr>
            <w:tcW w:w="758" w:type="pct"/>
            <w:shd w:val="clear" w:color="000000" w:fill="FFFFFF"/>
            <w:hideMark/>
          </w:tcPr>
          <w:p w:rsidR="00FB3566" w:rsidRPr="006E37C6" w:rsidRDefault="00A26A9E" w:rsidP="002F6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FF2F98" w:rsidRPr="006E37C6">
              <w:rPr>
                <w:rFonts w:ascii="Times New Roman" w:hAnsi="Times New Roman" w:cs="Times New Roman"/>
                <w:sz w:val="24"/>
                <w:szCs w:val="24"/>
              </w:rPr>
              <w:t>Rewolucja 1905–1907 i polskie organizacje niepodległościowe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6E37C6" w:rsidRDefault="0043281F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0C0F34" w:rsidRDefault="0043281F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hideMark/>
          </w:tcPr>
          <w:p w:rsidR="00CD2A7D" w:rsidRPr="000C0F34" w:rsidRDefault="00FF2F98" w:rsidP="00FF2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XXXV. Ziemie polskie pod zaborami w II połowie XIX i na początku XX wieku.</w:t>
            </w:r>
            <w:r w:rsidR="000C0F34" w:rsidRP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 w:rsidRP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  <w:r w:rsidR="000C0F34" w:rsidRP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 w:rsidRP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7) wyjaśnia genezę, charakter i skutki rewolucji w latach 1905–1907 w Królestwie Polskim.</w:t>
            </w:r>
            <w:r w:rsidR="000C0F34" w:rsidRP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 w:rsidRP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FB3566"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Uczen</w:t>
            </w:r>
            <w:proofErr w:type="spellEnd"/>
            <w:r w:rsidR="00FB3566"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́ spełnia wymagania </w:t>
            </w:r>
            <w:proofErr w:type="spellStart"/>
            <w:r w:rsidR="00FB3566"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określone</w:t>
            </w:r>
            <w:proofErr w:type="spellEnd"/>
            <w:r w:rsidR="00FB3566"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 zakresu podstawowego, a ponadto: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4) porównuje przyczyny i przebieg rewolucji w latach 1905–1907 w Rosji i w Królestwie Polskim;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5) przedstawia rezultaty wystąpień rewolucyjnych i ocenia ich znaczenie.</w:t>
            </w:r>
          </w:p>
        </w:tc>
      </w:tr>
      <w:tr w:rsidR="00FB3566" w:rsidRPr="006E37C6" w:rsidTr="00FF2F98">
        <w:trPr>
          <w:trHeight w:val="1030"/>
        </w:trPr>
        <w:tc>
          <w:tcPr>
            <w:tcW w:w="758" w:type="pct"/>
            <w:shd w:val="clear" w:color="000000" w:fill="FFFFFF"/>
            <w:hideMark/>
          </w:tcPr>
          <w:p w:rsidR="00FB3566" w:rsidRPr="006E37C6" w:rsidRDefault="00FF2F98" w:rsidP="00FF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Kultura i nauka na ziemiach polskich w drugiej połowie XIX i na początku XX w.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6E37C6" w:rsidRDefault="00FF2F98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6E37C6" w:rsidRDefault="00FF2F98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hideMark/>
          </w:tcPr>
          <w:p w:rsidR="00FB4DE8" w:rsidRPr="006E37C6" w:rsidRDefault="00FF2F98" w:rsidP="00FF2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XXXVI. Kultura i nauka polska w II połowie XIX i na początku XX wieku.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1) wyjaśnia specyfikę polskiego pozytywizmu oraz twórczości młodopolskiej;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2) rozpoznaje dorobek kultury polskiej doby pozytywizmu i Młodej Polski;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3) wskazuje przykłady najwybitniejszych dzieł tworzonych „ku pokrzepieniu serc”;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rozpoznaje najważniejszych ludzi nauki oraz omawia ich dokonania.</w:t>
            </w:r>
            <w:r w:rsidR="000C0F34" w:rsidRP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 w:rsidRP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FB3566"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Uczen</w:t>
            </w:r>
            <w:proofErr w:type="spellEnd"/>
            <w:r w:rsidR="00FB3566"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́ spełnia wymagania </w:t>
            </w:r>
            <w:proofErr w:type="spellStart"/>
            <w:r w:rsidR="00FB3566"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określone</w:t>
            </w:r>
            <w:proofErr w:type="spellEnd"/>
            <w:r w:rsidR="00FB3566"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 zakresu podstawowego, a ponadto:</w:t>
            </w:r>
            <w:r w:rsidR="000C0F34" w:rsidRP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 w:rsidRP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1) charakteryzuje podstawy ideowe i program polskiego pozytywizmu;</w:t>
            </w:r>
            <w:r w:rsidR="000C0F34" w:rsidRP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 w:rsidRP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2) charakteryzuje różne nurty w sztuce na przełomie XIX i XX w.;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 xml:space="preserve">3) ocenia rolę </w:t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kultury polskiej w dziele zachowania tożsamości narodowej przez Polaków w dobie rusyfikacji i germanizacji.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C076E" w:rsidRPr="006E37C6" w:rsidTr="007C076E">
        <w:trPr>
          <w:trHeight w:val="280"/>
        </w:trPr>
        <w:tc>
          <w:tcPr>
            <w:tcW w:w="758" w:type="pct"/>
            <w:shd w:val="clear" w:color="auto" w:fill="F7CAAC" w:themeFill="accent2" w:themeFillTint="66"/>
          </w:tcPr>
          <w:p w:rsidR="007C076E" w:rsidRPr="006E37C6" w:rsidRDefault="007C076E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608" w:type="pct"/>
            <w:shd w:val="clear" w:color="auto" w:fill="F7CAAC" w:themeFill="accent2" w:themeFillTint="66"/>
          </w:tcPr>
          <w:p w:rsidR="007C076E" w:rsidRPr="006E37C6" w:rsidRDefault="00CE06E1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08" w:type="pct"/>
            <w:shd w:val="clear" w:color="auto" w:fill="F7CAAC" w:themeFill="accent2" w:themeFillTint="66"/>
            <w:vAlign w:val="bottom"/>
          </w:tcPr>
          <w:p w:rsidR="007C076E" w:rsidRPr="006E37C6" w:rsidRDefault="007C076E" w:rsidP="00CE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CE06E1"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026" w:type="pct"/>
            <w:shd w:val="clear" w:color="auto" w:fill="F7CAAC" w:themeFill="accent2" w:themeFillTint="66"/>
            <w:vAlign w:val="bottom"/>
          </w:tcPr>
          <w:p w:rsidR="007C076E" w:rsidRPr="006E37C6" w:rsidRDefault="007C076E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7C076E" w:rsidRPr="006E37C6" w:rsidRDefault="007C076E">
      <w:pPr>
        <w:rPr>
          <w:rFonts w:ascii="Times New Roman" w:hAnsi="Times New Roman" w:cs="Times New Roman"/>
          <w:sz w:val="24"/>
          <w:szCs w:val="24"/>
        </w:rPr>
      </w:pPr>
      <w:r w:rsidRPr="006E37C6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1"/>
        <w:gridCol w:w="1702"/>
        <w:gridCol w:w="1702"/>
        <w:gridCol w:w="8469"/>
      </w:tblGrid>
      <w:tr w:rsidR="00FB3566" w:rsidRPr="006E37C6" w:rsidTr="007C076E">
        <w:trPr>
          <w:trHeight w:val="255"/>
        </w:trPr>
        <w:tc>
          <w:tcPr>
            <w:tcW w:w="5000" w:type="pct"/>
            <w:gridSpan w:val="4"/>
            <w:shd w:val="clear" w:color="auto" w:fill="B4C6E7" w:themeFill="accent5" w:themeFillTint="66"/>
            <w:vAlign w:val="bottom"/>
            <w:hideMark/>
          </w:tcPr>
          <w:p w:rsidR="00CD2A7D" w:rsidRPr="006E37C6" w:rsidRDefault="00CD2A7D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FB3566" w:rsidRPr="006E37C6" w:rsidRDefault="001733EF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Wielka Wojna i okres międzywojenny</w:t>
            </w:r>
          </w:p>
          <w:p w:rsidR="00CD2A7D" w:rsidRPr="006E37C6" w:rsidRDefault="00CD2A7D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FB3566" w:rsidRPr="006E37C6" w:rsidTr="001733EF">
        <w:trPr>
          <w:trHeight w:val="2721"/>
        </w:trPr>
        <w:tc>
          <w:tcPr>
            <w:tcW w:w="758" w:type="pct"/>
            <w:shd w:val="clear" w:color="000000" w:fill="FFFFFF"/>
            <w:hideMark/>
          </w:tcPr>
          <w:p w:rsidR="00FB3566" w:rsidRPr="006E37C6" w:rsidRDefault="001733EF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 dominację w Europie i na świecie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6E37C6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6E37C6" w:rsidRDefault="001733EF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26" w:type="pct"/>
            <w:shd w:val="clear" w:color="000000" w:fill="FFFFFF"/>
            <w:hideMark/>
          </w:tcPr>
          <w:p w:rsidR="00583184" w:rsidRPr="006E37C6" w:rsidRDefault="001733EF" w:rsidP="00173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pl-PL"/>
              </w:rPr>
            </w:pP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XXXVII. I wojna światowa.</w:t>
            </w:r>
            <w:r w:rsidR="000C0F34" w:rsidRP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 w:rsidRP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Uczeń:</w:t>
            </w:r>
            <w:r w:rsidR="000C0F34" w:rsidRP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 w:rsidRP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1) wyjaśnia pośrednie i bezpośrednie przyczyny wybuchu wojny, z uwzględnieniem procesu powstawania dwóch przeciwstawnych systemów sojuszy.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FB3566"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Uczen</w:t>
            </w:r>
            <w:proofErr w:type="spellEnd"/>
            <w:r w:rsidR="00FB3566"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́ spełnia wymagania </w:t>
            </w:r>
            <w:proofErr w:type="spellStart"/>
            <w:r w:rsidR="00FB3566"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określone</w:t>
            </w:r>
            <w:proofErr w:type="spellEnd"/>
            <w:r w:rsidR="00FB3566"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 zakresu podst</w:t>
            </w:r>
            <w:r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awowego, a ponadto: </w:t>
            </w:r>
            <w:r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 xml:space="preserve">1) omawia najważniejsze </w:t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konflikty polityczne i militarne poprzedzające I wojnę światową, ze szczególnym uwzględnieniem sytuacji na Bałkanach.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B3566" w:rsidRPr="006E37C6" w:rsidTr="001733EF">
        <w:trPr>
          <w:trHeight w:val="2246"/>
        </w:trPr>
        <w:tc>
          <w:tcPr>
            <w:tcW w:w="758" w:type="pct"/>
            <w:shd w:val="clear" w:color="000000" w:fill="FFFFFF"/>
            <w:hideMark/>
          </w:tcPr>
          <w:p w:rsidR="00FB3566" w:rsidRPr="006E37C6" w:rsidRDefault="001733EF" w:rsidP="00173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Wielka Wojna 1914–1918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6E37C6" w:rsidRDefault="00583184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6E37C6" w:rsidRDefault="001733EF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hideMark/>
          </w:tcPr>
          <w:p w:rsidR="00FB3566" w:rsidRPr="006E37C6" w:rsidRDefault="001733EF" w:rsidP="00173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l-PL"/>
              </w:rPr>
            </w:pP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XXXVII. I wojna światowa.</w:t>
            </w:r>
            <w:r w:rsidR="000C0F34" w:rsidRP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 w:rsidRP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Uczeń:</w:t>
            </w:r>
            <w:r w:rsidR="000C0F34" w:rsidRP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 w:rsidRP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 xml:space="preserve">2) opisuje </w:t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charakter działań wojennych na różnych frontach;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3) wyjaśnia okoliczności przystąpienia USA do wojny i ich rolę w konflikcie;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wyjaśnia przyczyny klęski państw centralnych i Rosji.</w:t>
            </w:r>
            <w:r w:rsidR="000C0F34" w:rsidRP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 w:rsidRP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FB3566"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Uczen</w:t>
            </w:r>
            <w:proofErr w:type="spellEnd"/>
            <w:r w:rsidR="00FB3566"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́ spełnia wymagania </w:t>
            </w:r>
            <w:proofErr w:type="spellStart"/>
            <w:r w:rsidR="00FB3566"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określone</w:t>
            </w:r>
            <w:proofErr w:type="spellEnd"/>
            <w:r w:rsidR="00FB3566"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 za</w:t>
            </w:r>
            <w:r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kresu podstawowego, a ponadto:</w:t>
            </w:r>
            <w:r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2) omawia strategiczne koncepcje prowadzenia wojny i ich realizację;</w:t>
            </w:r>
            <w:r w:rsidR="000C0F34" w:rsidRP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 w:rsidRP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 xml:space="preserve">3) przedstawia przebieg działań wojennych na najważniejszych frontach, dostrzegając zależności </w:t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między nimi;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4) charakteryzuje sytuację ludności cywilnej, z uwzględnieniem przykładów eksterminacji.</w:t>
            </w:r>
            <w:r w:rsidR="00FB3566" w:rsidRPr="006E37C6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0C0F3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l-PL"/>
              </w:rPr>
              <w:br/>
            </w:r>
          </w:p>
        </w:tc>
      </w:tr>
    </w:tbl>
    <w:p w:rsidR="00A26A9E" w:rsidRPr="006E37C6" w:rsidRDefault="00A26A9E">
      <w:pPr>
        <w:rPr>
          <w:rFonts w:ascii="Times New Roman" w:hAnsi="Times New Roman" w:cs="Times New Roman"/>
          <w:sz w:val="24"/>
          <w:szCs w:val="24"/>
        </w:rPr>
      </w:pPr>
      <w:r w:rsidRPr="006E37C6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1"/>
        <w:gridCol w:w="1702"/>
        <w:gridCol w:w="1702"/>
        <w:gridCol w:w="8469"/>
      </w:tblGrid>
      <w:tr w:rsidR="00FB3566" w:rsidRPr="006E37C6" w:rsidTr="006E37C6">
        <w:trPr>
          <w:trHeight w:val="1171"/>
        </w:trPr>
        <w:tc>
          <w:tcPr>
            <w:tcW w:w="758" w:type="pct"/>
            <w:shd w:val="clear" w:color="000000" w:fill="FFFFFF"/>
            <w:hideMark/>
          </w:tcPr>
          <w:p w:rsidR="00FB3566" w:rsidRPr="006E37C6" w:rsidRDefault="001733EF" w:rsidP="00583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Rewolucje rosyjskie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6E37C6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6E37C6" w:rsidRDefault="001733EF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hideMark/>
          </w:tcPr>
          <w:p w:rsidR="00BD4F8E" w:rsidRPr="006E37C6" w:rsidRDefault="001733EF" w:rsidP="00173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XXXVII. I wojna światowa.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Uczeń: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4) przedstawia przyczyny i skutki rewolucji lutowej i październikowej w Rosji;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 xml:space="preserve">5) wyjaśnia </w:t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przyczyny klęski państw centralnych i Rosji.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B3566" w:rsidRPr="006E37C6" w:rsidTr="001733EF">
        <w:trPr>
          <w:trHeight w:val="4006"/>
        </w:trPr>
        <w:tc>
          <w:tcPr>
            <w:tcW w:w="758" w:type="pct"/>
            <w:shd w:val="clear" w:color="000000" w:fill="FFFFFF"/>
            <w:hideMark/>
          </w:tcPr>
          <w:p w:rsidR="00FB3566" w:rsidRPr="006E37C6" w:rsidRDefault="00A26A9E" w:rsidP="00173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1733EF" w:rsidRPr="006E37C6">
              <w:rPr>
                <w:rFonts w:ascii="Times New Roman" w:hAnsi="Times New Roman" w:cs="Times New Roman"/>
                <w:sz w:val="24"/>
                <w:szCs w:val="24"/>
              </w:rPr>
              <w:t>Polacy w czasie Wielkiej Wojny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6E37C6" w:rsidRDefault="00BD4F8E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6E37C6" w:rsidRDefault="001733EF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026" w:type="pct"/>
            <w:shd w:val="clear" w:color="000000" w:fill="FFFFFF"/>
            <w:hideMark/>
          </w:tcPr>
          <w:p w:rsidR="00BD4F8E" w:rsidRPr="006E37C6" w:rsidRDefault="001733EF" w:rsidP="00CA4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XXXVIII. Sprawa polska w przededniu i podczas I wojny światowej.</w:t>
            </w:r>
            <w:r w:rsidR="000C0F34" w:rsidRP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 w:rsidRP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  <w:r w:rsidR="000C0F34" w:rsidRP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 w:rsidRP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1) omawia stosunek państw zaborczych do sprawy polskiej w przededniu i po wybuchu wojny;</w:t>
            </w:r>
            <w:r w:rsidR="000C0F34" w:rsidRP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 w:rsidRP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2) przedstawia koncepcje polskich ugrupowań politycznych wobec nadciągającego konfliktu światowego;</w:t>
            </w:r>
            <w:r w:rsidR="000C0F34" w:rsidRP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 w:rsidRP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3) analizuje umiędzynarodowienie sprawy polskiej (m.in. akt 5 listopada, rola USA i rewolucji rosyjskich, deklaracja z 3 czerwca 1918 r.);</w:t>
            </w:r>
            <w:r w:rsidR="000C0F34" w:rsidRP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 w:rsidRP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4) charakteryzuje przykłady zaangażowania militarnego Polaków podczas wojny, ze szczególnym uwzględnieniem losów Legionów.</w:t>
            </w:r>
            <w:r w:rsidR="000C0F34" w:rsidRP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 w:rsidRP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FB3566"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Uczen</w:t>
            </w:r>
            <w:proofErr w:type="spellEnd"/>
            <w:r w:rsidR="00FB3566"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́ spełnia wymagania </w:t>
            </w:r>
            <w:proofErr w:type="spellStart"/>
            <w:r w:rsidR="00FB3566"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określone</w:t>
            </w:r>
            <w:proofErr w:type="spellEnd"/>
            <w:r w:rsidR="00FB3566"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 zakresu podstawowego, a ponadto:</w:t>
            </w:r>
            <w:r w:rsidR="00FB3566"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1) opisuje polskie przedsięwzięcia polityczne po stronie państw centralnych i Ententy;</w:t>
            </w:r>
            <w:r w:rsidR="000C0F34" w:rsidRP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 w:rsidRP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 xml:space="preserve">2) przedstawia szlak bitewny żołnierzy polskich formacji wojskowych w tym: Łowczówek, Rokitna, </w:t>
            </w:r>
            <w:proofErr w:type="spellStart"/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Kostiuchnówka</w:t>
            </w:r>
            <w:proofErr w:type="spellEnd"/>
            <w:r w:rsidRPr="000C0F34">
              <w:rPr>
                <w:rFonts w:ascii="Times New Roman" w:hAnsi="Times New Roman" w:cs="Times New Roman"/>
                <w:sz w:val="24"/>
                <w:szCs w:val="24"/>
              </w:rPr>
              <w:t xml:space="preserve">, Kaniów, </w:t>
            </w:r>
            <w:proofErr w:type="spellStart"/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Krzywopłoty</w:t>
            </w:r>
            <w:proofErr w:type="spellEnd"/>
            <w:r w:rsidRPr="000C0F34">
              <w:rPr>
                <w:rFonts w:ascii="Times New Roman" w:hAnsi="Times New Roman" w:cs="Times New Roman"/>
                <w:sz w:val="24"/>
                <w:szCs w:val="24"/>
              </w:rPr>
              <w:t xml:space="preserve">, z uwzględnieniem roli dowódców; </w:t>
            </w:r>
            <w:r w:rsidR="000C0F34" w:rsidRP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3) charakteryzuje przykłady politycznych działań państwowotwórczych i wymienia ich liderów;</w:t>
            </w:r>
            <w:r w:rsidR="000C0F34" w:rsidRP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 w:rsidRP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4) ocenia skalę zniszczeń wojennych</w:t>
            </w:r>
            <w:r w:rsidR="00CA4E10" w:rsidRP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na ziemiach polskich;</w:t>
            </w:r>
            <w:r w:rsidR="000C0F34" w:rsidRP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 xml:space="preserve">5) opisuje tragizm </w:t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losów Polaków</w:t>
            </w:r>
            <w:r w:rsidR="00CA4E10" w:rsidRPr="006E3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7C6">
              <w:rPr>
                <w:rFonts w:ascii="Times New Roman" w:hAnsi="Times New Roman" w:cs="Times New Roman"/>
                <w:sz w:val="24"/>
                <w:szCs w:val="24"/>
              </w:rPr>
              <w:t>wcielonych do armii zaborczych.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B3566" w:rsidRPr="006E37C6" w:rsidTr="006E37C6">
        <w:trPr>
          <w:trHeight w:val="462"/>
        </w:trPr>
        <w:tc>
          <w:tcPr>
            <w:tcW w:w="758" w:type="pct"/>
            <w:shd w:val="clear" w:color="000000" w:fill="FFFFFF"/>
            <w:hideMark/>
          </w:tcPr>
          <w:p w:rsidR="00FB3566" w:rsidRPr="006E37C6" w:rsidRDefault="007B1AA1" w:rsidP="00BD4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Koniec wojny i ład wersalski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6E37C6" w:rsidRDefault="008444FB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6E37C6" w:rsidRDefault="007B1AA1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026" w:type="pct"/>
            <w:shd w:val="clear" w:color="000000" w:fill="FFFFFF"/>
            <w:hideMark/>
          </w:tcPr>
          <w:p w:rsidR="00BD4F8E" w:rsidRPr="000C0F34" w:rsidRDefault="007B1AA1" w:rsidP="007B1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XXXIX. Europa i świat po I wojnie światowej.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Uczeń: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2) przedstawia postanowienia traktatu wersalskiego; charakteryzuje słabe strony ładu wersalskiego;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3) charakteryzuje cele Ligi Narodów;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4) wyjaśnia znaczenie układów z Rapallo i Locarno dla ładu międzynarodowego.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FB3566"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Uczen</w:t>
            </w:r>
            <w:proofErr w:type="spellEnd"/>
            <w:r w:rsidR="00FB3566"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́ spełnia wymagania </w:t>
            </w:r>
            <w:proofErr w:type="spellStart"/>
            <w:r w:rsidR="00FB3566"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określone</w:t>
            </w:r>
            <w:proofErr w:type="spellEnd"/>
            <w:r w:rsidR="00FB3566"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 zakresu podstawowego, a ponadto: </w:t>
            </w:r>
            <w:r w:rsidR="00FB3566"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 xml:space="preserve">1) przedstawia postanowienia traktatów pokojowych podpisanych z sojusznikami Niemiec;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ocenia funkcjonowanie Ligi Narodów i skutki amerykańskiego izolacjonizmu;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4) ocenia sytuację Niemiec w latach dwudziestych.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B3566" w:rsidRPr="006E37C6" w:rsidTr="007B1AA1">
        <w:trPr>
          <w:trHeight w:val="1242"/>
        </w:trPr>
        <w:tc>
          <w:tcPr>
            <w:tcW w:w="758" w:type="pct"/>
            <w:shd w:val="clear" w:color="auto" w:fill="auto"/>
            <w:hideMark/>
          </w:tcPr>
          <w:p w:rsidR="00FB3566" w:rsidRPr="006E37C6" w:rsidRDefault="007B1AA1" w:rsidP="00C50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Gospodarka </w:t>
            </w:r>
            <w:r w:rsidRPr="006E37C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C502D7" w:rsidRPr="006E3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7C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dwudziestoleciu</w:t>
            </w: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międzywojennym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6E37C6" w:rsidRDefault="007B1AA1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6E37C6" w:rsidRDefault="007B1AA1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hideMark/>
          </w:tcPr>
          <w:p w:rsidR="007B1AA1" w:rsidRPr="000C0F34" w:rsidRDefault="007B1AA1" w:rsidP="007B1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XXXIX. Europa i świat po I wojnie światowej.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Uczeń: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1) analizuje cywilizacyjne i kulturowe następstwa wojny; ocenia straty wojenne, wylicza społeczne i gospodarcze następstwa wojny;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5) charakteryzuje wielki kryzys gospodarczy;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Uczen</w:t>
            </w:r>
            <w:proofErr w:type="spellEnd"/>
            <w:r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́ spełnia wymagania </w:t>
            </w:r>
            <w:proofErr w:type="spellStart"/>
            <w:r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określone</w:t>
            </w:r>
            <w:proofErr w:type="spellEnd"/>
            <w:r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 zakresu podstawowego, a ponadto: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3) wyjaśnia przyczyny wielkiego kryzysu gospodarczego i ocenia skuteczność metod jego zwalczania na świecie.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02D7" w:rsidRPr="006E37C6" w:rsidTr="007B1AA1">
        <w:trPr>
          <w:trHeight w:val="1242"/>
        </w:trPr>
        <w:tc>
          <w:tcPr>
            <w:tcW w:w="758" w:type="pct"/>
            <w:shd w:val="clear" w:color="auto" w:fill="auto"/>
          </w:tcPr>
          <w:p w:rsidR="00C502D7" w:rsidRPr="006E37C6" w:rsidRDefault="00C502D7" w:rsidP="00C50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Faszyzm we Włoszech</w:t>
            </w:r>
          </w:p>
        </w:tc>
        <w:tc>
          <w:tcPr>
            <w:tcW w:w="608" w:type="pct"/>
            <w:shd w:val="clear" w:color="000000" w:fill="FFFFFF"/>
          </w:tcPr>
          <w:p w:rsidR="00C502D7" w:rsidRPr="006E37C6" w:rsidRDefault="00C502D7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</w:tcPr>
          <w:p w:rsidR="00C502D7" w:rsidRPr="006E37C6" w:rsidRDefault="00C502D7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</w:tcPr>
          <w:p w:rsidR="00C502D7" w:rsidRPr="000C0F34" w:rsidRDefault="00C502D7" w:rsidP="00C50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XL. Narodziny i rozwój totalitaryzmów w okresie międzywojennym.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2) wyjaśnia genezę faszyzmu i charakteryzuje faszystowskie Włochy.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Uczen</w:t>
            </w:r>
            <w:proofErr w:type="spellEnd"/>
            <w:r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́ spełnia wymagania </w:t>
            </w:r>
            <w:proofErr w:type="spellStart"/>
            <w:r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określone</w:t>
            </w:r>
            <w:proofErr w:type="spellEnd"/>
            <w:r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 zakresu podstawowego, a ponadto: </w:t>
            </w:r>
            <w:r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2) wyjaśnia rolę ideologii w systemach totalitarnych i zjawisko kultu jednostki.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02D7" w:rsidRPr="006E37C6" w:rsidTr="007B1AA1">
        <w:trPr>
          <w:trHeight w:val="1242"/>
        </w:trPr>
        <w:tc>
          <w:tcPr>
            <w:tcW w:w="758" w:type="pct"/>
            <w:shd w:val="clear" w:color="auto" w:fill="auto"/>
          </w:tcPr>
          <w:p w:rsidR="00C502D7" w:rsidRPr="006E37C6" w:rsidRDefault="00C502D7" w:rsidP="00C50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Nazizm. Niemcy Hitlera </w:t>
            </w:r>
          </w:p>
        </w:tc>
        <w:tc>
          <w:tcPr>
            <w:tcW w:w="608" w:type="pct"/>
            <w:shd w:val="clear" w:color="000000" w:fill="FFFFFF"/>
          </w:tcPr>
          <w:p w:rsidR="00C502D7" w:rsidRPr="006E37C6" w:rsidRDefault="00C502D7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</w:tcPr>
          <w:p w:rsidR="00C502D7" w:rsidRPr="006E37C6" w:rsidRDefault="00C502D7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026" w:type="pct"/>
            <w:shd w:val="clear" w:color="000000" w:fill="FFFFFF"/>
          </w:tcPr>
          <w:p w:rsidR="00C502D7" w:rsidRPr="000C0F34" w:rsidRDefault="00C502D7" w:rsidP="000C0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XL. Narodziny i rozwój totalitaryzmów w okresie międzywojennym.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3) charakteryzuje drogę Hitlera do władzy w Niemczech;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 xml:space="preserve">4) charakteryzuje politykę wewnętrzną i zagraniczną III Rzeszy w latach </w:t>
            </w:r>
            <w:r w:rsidR="007320FC" w:rsidRPr="000C0F34">
              <w:rPr>
                <w:rFonts w:ascii="Times New Roman" w:hAnsi="Times New Roman" w:cs="Times New Roman"/>
                <w:sz w:val="24"/>
                <w:szCs w:val="24"/>
              </w:rPr>
              <w:t>trzydziestych.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Uczen</w:t>
            </w:r>
            <w:proofErr w:type="spellEnd"/>
            <w:r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́ spełnia wymagania </w:t>
            </w:r>
            <w:proofErr w:type="spellStart"/>
            <w:r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określone</w:t>
            </w:r>
            <w:proofErr w:type="spellEnd"/>
            <w:r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 zakresu podstawowego, a ponadto: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XXXIX. Europa i świat po I wojnie światowej.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4) ocenia sytuację Niemiec w latach dwudziestych.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XL. Narodziny i rozwój totalitaryzmów w okresie międzywojennym.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1) porównuje systemy totalitarne charakteryzując ich imperialne cele;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2) wyjaśnia rolę ideologii w systemach totalitarn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>ych i zjawisko kultu jednostki.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02D7" w:rsidRPr="006E37C6" w:rsidTr="007B1AA1">
        <w:trPr>
          <w:trHeight w:val="1242"/>
        </w:trPr>
        <w:tc>
          <w:tcPr>
            <w:tcW w:w="758" w:type="pct"/>
            <w:shd w:val="clear" w:color="auto" w:fill="auto"/>
          </w:tcPr>
          <w:p w:rsidR="00C502D7" w:rsidRPr="006E37C6" w:rsidRDefault="007320FC" w:rsidP="00C50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Komunizm w ZSRS</w:t>
            </w:r>
          </w:p>
        </w:tc>
        <w:tc>
          <w:tcPr>
            <w:tcW w:w="608" w:type="pct"/>
            <w:shd w:val="clear" w:color="000000" w:fill="FFFFFF"/>
          </w:tcPr>
          <w:p w:rsidR="00C502D7" w:rsidRPr="006E37C6" w:rsidRDefault="007320FC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</w:tcPr>
          <w:p w:rsidR="00C502D7" w:rsidRPr="006E37C6" w:rsidRDefault="00585481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026" w:type="pct"/>
            <w:shd w:val="clear" w:color="000000" w:fill="FFFFFF"/>
          </w:tcPr>
          <w:p w:rsidR="007320FC" w:rsidRPr="000C0F34" w:rsidRDefault="007320FC" w:rsidP="00732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XL. Narodziny i rozwój totalitaryzmów w okresie międzywojennym.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 xml:space="preserve">1) wyjaśnia genezę powstania państwa sowieckiego i charakteryzuje jego politykę wewnętrzną i zagraniczną </w:t>
            </w:r>
            <w:r w:rsidR="00585481" w:rsidRPr="000C0F34">
              <w:rPr>
                <w:rFonts w:ascii="Times New Roman" w:hAnsi="Times New Roman" w:cs="Times New Roman"/>
                <w:sz w:val="24"/>
                <w:szCs w:val="24"/>
              </w:rPr>
              <w:t>w okresie międzywojennym;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85481" w:rsidRPr="000C0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 porównuje funkcjonowanie aparatu terroru w ZSRS i III Rzeszy.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Uczen</w:t>
            </w:r>
            <w:proofErr w:type="spellEnd"/>
            <w:r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́ spełnia wymagania </w:t>
            </w:r>
            <w:proofErr w:type="spellStart"/>
            <w:r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określone</w:t>
            </w:r>
            <w:proofErr w:type="spellEnd"/>
            <w:r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 zakresu podstawowego, a ponadto: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85481" w:rsidRPr="000C0F34">
              <w:rPr>
                <w:rFonts w:ascii="Times New Roman" w:hAnsi="Times New Roman" w:cs="Times New Roman"/>
                <w:sz w:val="24"/>
                <w:szCs w:val="24"/>
              </w:rPr>
              <w:t>5) ukazuje skalę wewnętrznych represji w ZSRS w latach 30. (w tym tzw. operację polską NKWD 1937–1938).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02D7" w:rsidRPr="006E37C6" w:rsidTr="007B1AA1">
        <w:trPr>
          <w:trHeight w:val="1242"/>
        </w:trPr>
        <w:tc>
          <w:tcPr>
            <w:tcW w:w="758" w:type="pct"/>
            <w:shd w:val="clear" w:color="auto" w:fill="auto"/>
          </w:tcPr>
          <w:p w:rsidR="00C502D7" w:rsidRPr="006E37C6" w:rsidRDefault="00585481" w:rsidP="0058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Na drodze do II wojny światowej</w:t>
            </w:r>
          </w:p>
        </w:tc>
        <w:tc>
          <w:tcPr>
            <w:tcW w:w="608" w:type="pct"/>
            <w:shd w:val="clear" w:color="000000" w:fill="FFFFFF"/>
          </w:tcPr>
          <w:p w:rsidR="00C502D7" w:rsidRPr="006E37C6" w:rsidRDefault="00585481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</w:tcPr>
          <w:p w:rsidR="00C502D7" w:rsidRPr="006E37C6" w:rsidRDefault="00585481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</w:tcPr>
          <w:p w:rsidR="00585481" w:rsidRPr="000C0F34" w:rsidRDefault="00585481" w:rsidP="007B1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XLV. Świat na drodze do II wojny światowej.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1) przedstawia ideologiczne, polityczne i gospodarcze przyczyny wybuchu II wojny światowej;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2) wyjaśnia wpływ polityki hitlerowskich Niemiec na rozbijanie systemu wersalskiego;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 xml:space="preserve">3) charakteryzuje politykę </w:t>
            </w:r>
            <w:proofErr w:type="spellStart"/>
            <w:r w:rsidRPr="000C0F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appeasementu</w:t>
            </w:r>
            <w:proofErr w:type="spellEnd"/>
            <w:r w:rsidRPr="000C0F3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4) wyjaśnia genezę paktu Ribbentrop–Mołotow i przedstawia jego postanowienia.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Uczen</w:t>
            </w:r>
            <w:proofErr w:type="spellEnd"/>
            <w:r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́ spełnia wymagania </w:t>
            </w:r>
            <w:proofErr w:type="spellStart"/>
            <w:r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określone</w:t>
            </w:r>
            <w:proofErr w:type="spellEnd"/>
            <w:r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 zakresu podstawowego, a ponadto: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XL. Narodziny i rozwój totalitaryzmów w okresie międzywojennym.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3) wyjaśnia przyczyny i opisuje przejawy kryzysu demokracji w okresie międzywojennym;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4) charakteryzuje państwa autorytarne w Europie i na świecie.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XLV. Świat na drodze do II wojny światowej.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1) charakteryzuje proces marginalizowania Ligi Narodów przez państwa niedemokratyczne;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2) charakteryzuje i ocenia ekspansję Włoch oraz wojnę domową w Hiszpanii i jej uwarunkowania.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02D7" w:rsidRPr="006E37C6" w:rsidTr="007B1AA1">
        <w:trPr>
          <w:trHeight w:val="1242"/>
        </w:trPr>
        <w:tc>
          <w:tcPr>
            <w:tcW w:w="758" w:type="pct"/>
            <w:shd w:val="clear" w:color="auto" w:fill="auto"/>
          </w:tcPr>
          <w:p w:rsidR="00C502D7" w:rsidRPr="006E37C6" w:rsidRDefault="00585481" w:rsidP="0058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Nauka i kultura w dwudziestoleciu międzywojennym</w:t>
            </w:r>
          </w:p>
        </w:tc>
        <w:tc>
          <w:tcPr>
            <w:tcW w:w="608" w:type="pct"/>
            <w:shd w:val="clear" w:color="000000" w:fill="FFFFFF"/>
          </w:tcPr>
          <w:p w:rsidR="00C502D7" w:rsidRPr="006E37C6" w:rsidRDefault="00585481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</w:tcPr>
          <w:p w:rsidR="00C502D7" w:rsidRPr="006E37C6" w:rsidRDefault="00585481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</w:tcPr>
          <w:p w:rsidR="000C0F34" w:rsidRPr="000C0F34" w:rsidRDefault="00585481" w:rsidP="000C0F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XXXIX. Europa i świat po I wojnie światowej.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6) rozpoznaje dorobek okresu międzywojennego w dziedzinie kultury i nauki.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Uczen</w:t>
            </w:r>
            <w:proofErr w:type="spellEnd"/>
            <w:r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́ spełnia wymagania </w:t>
            </w:r>
            <w:proofErr w:type="spellStart"/>
            <w:r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określone</w:t>
            </w:r>
            <w:proofErr w:type="spellEnd"/>
            <w:r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 zakresu podstawowego, a ponadto: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5) charakteryzuje przemiany cywilizacyjne na świecie w okresie międzywojennym.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0624A" w:rsidRPr="006E37C6" w:rsidTr="0080624A">
        <w:trPr>
          <w:trHeight w:val="269"/>
        </w:trPr>
        <w:tc>
          <w:tcPr>
            <w:tcW w:w="758" w:type="pct"/>
            <w:shd w:val="clear" w:color="auto" w:fill="F7CAAC" w:themeFill="accent2" w:themeFillTint="66"/>
          </w:tcPr>
          <w:p w:rsidR="0080624A" w:rsidRPr="006E37C6" w:rsidRDefault="0080624A" w:rsidP="0080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608" w:type="pct"/>
            <w:shd w:val="clear" w:color="auto" w:fill="F7CAAC" w:themeFill="accent2" w:themeFillTint="66"/>
          </w:tcPr>
          <w:p w:rsidR="0080624A" w:rsidRPr="006E37C6" w:rsidRDefault="005178B0" w:rsidP="00844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608" w:type="pct"/>
            <w:shd w:val="clear" w:color="auto" w:fill="F7CAAC" w:themeFill="accent2" w:themeFillTint="66"/>
          </w:tcPr>
          <w:p w:rsidR="0080624A" w:rsidRPr="006E37C6" w:rsidRDefault="005178B0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3026" w:type="pct"/>
            <w:shd w:val="clear" w:color="auto" w:fill="F7CAAC" w:themeFill="accent2" w:themeFillTint="66"/>
            <w:vAlign w:val="bottom"/>
          </w:tcPr>
          <w:p w:rsidR="0080624A" w:rsidRPr="006E37C6" w:rsidRDefault="0080624A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80624A" w:rsidRPr="006E37C6" w:rsidRDefault="0080624A">
      <w:pPr>
        <w:rPr>
          <w:rFonts w:ascii="Times New Roman" w:hAnsi="Times New Roman" w:cs="Times New Roman"/>
          <w:sz w:val="24"/>
          <w:szCs w:val="24"/>
        </w:rPr>
      </w:pPr>
      <w:r w:rsidRPr="006E37C6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1"/>
        <w:gridCol w:w="1702"/>
        <w:gridCol w:w="1702"/>
        <w:gridCol w:w="8469"/>
      </w:tblGrid>
      <w:tr w:rsidR="00FB3566" w:rsidRPr="006E37C6" w:rsidTr="00FB3566">
        <w:trPr>
          <w:trHeight w:val="255"/>
        </w:trPr>
        <w:tc>
          <w:tcPr>
            <w:tcW w:w="5000" w:type="pct"/>
            <w:gridSpan w:val="4"/>
            <w:shd w:val="clear" w:color="000000" w:fill="9FC5E8"/>
            <w:vAlign w:val="bottom"/>
            <w:hideMark/>
          </w:tcPr>
          <w:p w:rsidR="008444FB" w:rsidRPr="006E37C6" w:rsidRDefault="008444FB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FB3566" w:rsidRPr="006E37C6" w:rsidRDefault="005178B0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II Rzeczpospolita</w:t>
            </w:r>
          </w:p>
          <w:p w:rsidR="008444FB" w:rsidRPr="006E37C6" w:rsidRDefault="008444FB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3566" w:rsidRPr="006E37C6" w:rsidTr="005178B0">
        <w:trPr>
          <w:trHeight w:val="1975"/>
        </w:trPr>
        <w:tc>
          <w:tcPr>
            <w:tcW w:w="758" w:type="pct"/>
            <w:shd w:val="clear" w:color="000000" w:fill="FFFFFF"/>
            <w:hideMark/>
          </w:tcPr>
          <w:p w:rsidR="00FB3566" w:rsidRPr="006E37C6" w:rsidRDefault="005178B0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Odrodzenie się Polski w 1918 r.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6E37C6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6E37C6" w:rsidRDefault="00ED37D7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026" w:type="pct"/>
            <w:shd w:val="clear" w:color="000000" w:fill="FFFFFF"/>
            <w:hideMark/>
          </w:tcPr>
          <w:p w:rsidR="00ED37D7" w:rsidRPr="000C0F34" w:rsidRDefault="00ED37D7" w:rsidP="00ED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XLI. Walka o odrodzenie państwa polskiego po I wojnie światowej.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FB3566"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Uczen</w:t>
            </w:r>
            <w:proofErr w:type="spellEnd"/>
            <w:r w:rsidR="00FB3566"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́: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1) analizuje proces formowania się centralnego ośrodka władzy państwowej (od październikowej deklaracji Rady Regencyjnej do małej konstytucji z 1919 r.);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2) przedstawia postanowienia konferencji pokojowej w Paryżu dotyczące Polski;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3) charakteryzuje proces kształtowania się polskiej granicy z Niemcami, z uwzględnieniem powstania wielkopolskiego, powstań śląskich i plebiscytów.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FB3566"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Uczen</w:t>
            </w:r>
            <w:proofErr w:type="spellEnd"/>
            <w:r w:rsidR="00FB3566"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́ spełnia wymagania </w:t>
            </w:r>
            <w:proofErr w:type="spellStart"/>
            <w:r w:rsidR="00FB3566"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określone</w:t>
            </w:r>
            <w:proofErr w:type="spellEnd"/>
            <w:r w:rsidR="00FB3566"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 zakresu podstawowego, a ponadto:</w:t>
            </w:r>
            <w:r w:rsidR="00FB3566"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1) wyjaśnia wewnętrzne i międzynarodowe uwarunkowania odzyskania niepodległości przez Polskę.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B3566" w:rsidRPr="006E37C6" w:rsidTr="00ED37D7">
        <w:trPr>
          <w:trHeight w:val="604"/>
        </w:trPr>
        <w:tc>
          <w:tcPr>
            <w:tcW w:w="758" w:type="pct"/>
            <w:shd w:val="clear" w:color="000000" w:fill="FFFFFF"/>
            <w:hideMark/>
          </w:tcPr>
          <w:p w:rsidR="008444FB" w:rsidRPr="006E37C6" w:rsidRDefault="00A26A9E" w:rsidP="00ED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ED37D7" w:rsidRPr="006E37C6">
              <w:rPr>
                <w:rFonts w:ascii="Times New Roman" w:hAnsi="Times New Roman" w:cs="Times New Roman"/>
                <w:sz w:val="24"/>
                <w:szCs w:val="24"/>
              </w:rPr>
              <w:t>Kształtowanie się północno-zachodniej i południowej granicy Polski</w:t>
            </w:r>
            <w:r w:rsidR="005178B0"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8444FB" w:rsidRPr="006E37C6" w:rsidRDefault="008444FB" w:rsidP="00ED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8444FB" w:rsidRPr="006E37C6" w:rsidRDefault="008444FB" w:rsidP="00ED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8444FB" w:rsidRPr="006E37C6" w:rsidRDefault="008444FB" w:rsidP="00ED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08" w:type="pct"/>
            <w:shd w:val="clear" w:color="000000" w:fill="FFFFFF"/>
            <w:hideMark/>
          </w:tcPr>
          <w:p w:rsidR="00FB3566" w:rsidRPr="006E37C6" w:rsidRDefault="00FB3566" w:rsidP="00A2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6E37C6" w:rsidRDefault="00ED37D7" w:rsidP="00A26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:rsidR="008444FB" w:rsidRPr="000C0F34" w:rsidRDefault="00ED37D7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XLI. Walka o odrodzenie państwa polskiego po I wojnie światowej.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Uczen</w:t>
            </w:r>
            <w:proofErr w:type="spellEnd"/>
            <w:r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́: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2) przedstawia postanowienia konferencji pokojowej w Paryżu dotyczące Polski;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3) charakteryzuje proces kształtowania się polskiej granicy z Niemcami, z uwzględnieniem powstania wielkopolskiego, powstań śląskich i plebiscytów.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8444FB"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Uczen</w:t>
            </w:r>
            <w:proofErr w:type="spellEnd"/>
            <w:r w:rsidR="008444FB"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́ spełnia wymagania </w:t>
            </w:r>
            <w:proofErr w:type="spellStart"/>
            <w:r w:rsidR="008444FB"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określone</w:t>
            </w:r>
            <w:proofErr w:type="spellEnd"/>
            <w:r w:rsidR="008444FB"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 zakresu podstawowego, a ponadto:</w:t>
            </w:r>
            <w:r w:rsidR="008444FB"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1) wyjaśnia wewnętrzne i międzynarodowe uwarunkowania odzyskania niepodległości przez Polskę;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4) charakteryzuje proces formowania się granic z Czechosłowacją i Litwą.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B3566" w:rsidRPr="006E37C6" w:rsidTr="000C0F34">
        <w:trPr>
          <w:trHeight w:val="604"/>
        </w:trPr>
        <w:tc>
          <w:tcPr>
            <w:tcW w:w="758" w:type="pct"/>
            <w:shd w:val="clear" w:color="000000" w:fill="FFFFFF"/>
            <w:hideMark/>
          </w:tcPr>
          <w:p w:rsidR="00FB3566" w:rsidRPr="006E37C6" w:rsidRDefault="00ED37D7" w:rsidP="0084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Walka o wschodnią granicę Polski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6E37C6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6E37C6" w:rsidRDefault="00ED37D7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:rsidR="008444FB" w:rsidRPr="000C0F34" w:rsidRDefault="00ED37D7" w:rsidP="00ED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XLI. Walka o odrodzenie państwa polskiego po I wojnie światowej.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FB3566"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Uczen</w:t>
            </w:r>
            <w:proofErr w:type="spellEnd"/>
            <w:r w:rsidR="00FB3566"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́: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4) charakteryzuje proces kształtowania się polskiej granicy wschodniej, ze szczególnym uwzględnieniem wojny polsko-bolszewickiej;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 xml:space="preserve">5) porównuje kształt terytorialny I </w:t>
            </w:r>
            <w:proofErr w:type="spellStart"/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C0F34">
              <w:rPr>
                <w:rFonts w:ascii="Times New Roman" w:hAnsi="Times New Roman" w:cs="Times New Roman"/>
                <w:sz w:val="24"/>
                <w:szCs w:val="24"/>
              </w:rPr>
              <w:t xml:space="preserve"> II Rzeczypospolitej.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FB3566"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Uczen</w:t>
            </w:r>
            <w:proofErr w:type="spellEnd"/>
            <w:r w:rsidR="00FB3566"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́ spełnia wymagania </w:t>
            </w:r>
            <w:proofErr w:type="spellStart"/>
            <w:r w:rsidR="00FB3566"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określone</w:t>
            </w:r>
            <w:proofErr w:type="spellEnd"/>
            <w:r w:rsidR="00FB3566"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 zakresu podstawowego, a ponadto:</w:t>
            </w:r>
            <w:r w:rsidR="00FB3566"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2) opisuje genezę i przebieg wojny polsko-bolszewickiej oraz jej powiązanie z kwestią ukraińską i litewską;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3) ocenia z perspektywy polskiej i europejskiej polityczne i cywilizacyjne znaczenie bitwy warszawskiej;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 charakteryzuje proces formowania się granic z Czechosłowacją i Litwą.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B3566" w:rsidRPr="006E37C6" w:rsidTr="008444FB">
        <w:trPr>
          <w:trHeight w:val="604"/>
        </w:trPr>
        <w:tc>
          <w:tcPr>
            <w:tcW w:w="758" w:type="pct"/>
            <w:shd w:val="clear" w:color="000000" w:fill="FFFFFF"/>
            <w:hideMark/>
          </w:tcPr>
          <w:p w:rsidR="00FB3566" w:rsidRPr="006E37C6" w:rsidRDefault="00ED37D7" w:rsidP="00ED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Kształtowanie się ustroju II Rzeczpospolitej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6E37C6" w:rsidRDefault="00FB3566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  <w:hideMark/>
          </w:tcPr>
          <w:p w:rsidR="00FB3566" w:rsidRPr="006E37C6" w:rsidRDefault="00ED37D7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:rsidR="008444FB" w:rsidRPr="000C0F34" w:rsidRDefault="00ED37D7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XLII. Dzieje polityczne II Rzeczypospolitej.</w:t>
            </w:r>
            <w:r w:rsidR="00FB3566"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="00FB3566"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Uczen</w:t>
            </w:r>
            <w:proofErr w:type="spellEnd"/>
            <w:r w:rsidR="00FB3566"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́:</w:t>
            </w:r>
            <w:r w:rsidR="00FB3566"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1) charakteryzuje ustrój polityczny II Rzeczypospolitej na podstawie konstytucji marcowej z 1921 r.;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3) ocenia wpływ Józefa Piłsudskiego, Romana Dmowskiego oraz innych polityków na kształt II Rzeczypospolitej; porównuje ich wizje Polski;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5) ocenia rolę wybitnych postaci w odbudowie niepodległej Polski i kształtowaniu jej ustroju;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6) zestawia najważniejsze wydarzenia z dziejów Polski, Europy i świata w okresie międzywojennym.</w:t>
            </w:r>
            <w:r w:rsidR="00FB3566"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="00FB3566"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Uczen</w:t>
            </w:r>
            <w:proofErr w:type="spellEnd"/>
            <w:r w:rsidR="00FB3566"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́ spełnia wymagania </w:t>
            </w:r>
            <w:proofErr w:type="spellStart"/>
            <w:r w:rsidR="00FB3566"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określone</w:t>
            </w:r>
            <w:proofErr w:type="spellEnd"/>
            <w:r w:rsidR="00FB3566"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 zakresu podstawowego, a ponadto:</w:t>
            </w:r>
            <w:r w:rsidR="00FB3566"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2) charakteryzuje dynamikę zmian na polskiej scenie politycznej w okresie międzywojennym.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D37D7" w:rsidRPr="006E37C6" w:rsidTr="00ED37D7">
        <w:trPr>
          <w:trHeight w:val="604"/>
        </w:trPr>
        <w:tc>
          <w:tcPr>
            <w:tcW w:w="758" w:type="pct"/>
            <w:shd w:val="clear" w:color="000000" w:fill="FFFFFF"/>
          </w:tcPr>
          <w:p w:rsidR="00ED37D7" w:rsidRPr="006E37C6" w:rsidRDefault="00ED37D7" w:rsidP="00ED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Przewrót majowy 1926 r. i rządy sanacji</w:t>
            </w:r>
          </w:p>
        </w:tc>
        <w:tc>
          <w:tcPr>
            <w:tcW w:w="608" w:type="pct"/>
            <w:shd w:val="clear" w:color="000000" w:fill="FFFFFF"/>
          </w:tcPr>
          <w:p w:rsidR="00ED37D7" w:rsidRPr="006E37C6" w:rsidRDefault="00ED37D7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</w:tcPr>
          <w:p w:rsidR="00ED37D7" w:rsidRPr="006E37C6" w:rsidRDefault="00ED37D7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</w:tcPr>
          <w:p w:rsidR="00AC7B58" w:rsidRPr="000C0F34" w:rsidRDefault="00ED37D7" w:rsidP="00ED3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XLII. Dzieje polityczne II Rzeczypospolitej.</w:t>
            </w:r>
            <w:r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Uczen</w:t>
            </w:r>
            <w:proofErr w:type="spellEnd"/>
            <w:r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́: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2) </w:t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wyjaśnia przyczyny przewrotu majowego, charakteryzuje jego przebieg oraz ocenia skutki ustrojowe (nowela sierpniowa, konstytucja kwietniowa z 1935 r.);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4) charakteryzuje życie polityczne w Polsce w czasie rządów sanacyjnych.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AC7B58"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Uczen</w:t>
            </w:r>
            <w:proofErr w:type="spellEnd"/>
            <w:r w:rsidR="00AC7B58"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́</w:t>
            </w:r>
            <w:r w:rsidR="00AC7B58" w:rsidRPr="000C0F34">
              <w:rPr>
                <w:rFonts w:ascii="Times New Roman" w:hAnsi="Times New Roman" w:cs="Times New Roman"/>
                <w:sz w:val="24"/>
                <w:szCs w:val="24"/>
              </w:rPr>
              <w:t xml:space="preserve"> spełnia wymagania określone dla zakresu podstawowego, a ponadto: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C7B58" w:rsidRPr="000C0F34">
              <w:rPr>
                <w:rFonts w:ascii="Times New Roman" w:hAnsi="Times New Roman" w:cs="Times New Roman"/>
                <w:sz w:val="24"/>
                <w:szCs w:val="24"/>
              </w:rPr>
              <w:t>1) porównuje ustrój i rzeczywistość polityczną w II Rzeczypospolitej przed i po przewrocie majowym.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D37D7" w:rsidRPr="006E37C6" w:rsidTr="00AC7B58">
        <w:trPr>
          <w:trHeight w:val="604"/>
        </w:trPr>
        <w:tc>
          <w:tcPr>
            <w:tcW w:w="758" w:type="pct"/>
            <w:shd w:val="clear" w:color="000000" w:fill="FFFFFF"/>
          </w:tcPr>
          <w:p w:rsidR="00ED37D7" w:rsidRPr="006E37C6" w:rsidRDefault="00AC7B58" w:rsidP="00ED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Polska polityka zagraniczna</w:t>
            </w:r>
          </w:p>
        </w:tc>
        <w:tc>
          <w:tcPr>
            <w:tcW w:w="608" w:type="pct"/>
            <w:shd w:val="clear" w:color="000000" w:fill="FFFFFF"/>
          </w:tcPr>
          <w:p w:rsidR="00ED37D7" w:rsidRPr="006E37C6" w:rsidRDefault="00AC7B58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</w:tcPr>
          <w:p w:rsidR="00ED37D7" w:rsidRPr="006E37C6" w:rsidRDefault="00AC7B58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</w:tcPr>
          <w:p w:rsidR="00AC7B58" w:rsidRPr="000C0F34" w:rsidRDefault="00AC7B58" w:rsidP="00AC7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XLII. Dzieje polityczne II Rzeczypospolitej.</w:t>
            </w:r>
            <w:r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Uczen</w:t>
            </w:r>
            <w:proofErr w:type="spellEnd"/>
            <w:r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́: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6) zestawia najważniejsze wydarzenia z dziejów Polski, Europy i świata w okresie międzywojennym.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Uczen</w:t>
            </w:r>
            <w:proofErr w:type="spellEnd"/>
            <w:r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́</w:t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 xml:space="preserve"> spełnia wymagania określone dla zakresu podstawowego, a ponadto: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3) ocenia skuteczność polskiej polityki zagranicznej w okresie międzywojennym;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4) analizuje politykę wewnętrzną władz i postawy społeczeństwa II Rzeczypospolitej wobec zagrożenia wojennego.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D37D7" w:rsidRPr="006E37C6" w:rsidTr="00F05959">
        <w:trPr>
          <w:trHeight w:val="604"/>
        </w:trPr>
        <w:tc>
          <w:tcPr>
            <w:tcW w:w="758" w:type="pct"/>
            <w:shd w:val="clear" w:color="000000" w:fill="FFFFFF"/>
          </w:tcPr>
          <w:p w:rsidR="00ED37D7" w:rsidRPr="006E37C6" w:rsidRDefault="00AC7B58" w:rsidP="00AC7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Gospodarka i społeczeństwo II Rzeczpospolitej</w:t>
            </w:r>
          </w:p>
        </w:tc>
        <w:tc>
          <w:tcPr>
            <w:tcW w:w="608" w:type="pct"/>
            <w:shd w:val="clear" w:color="000000" w:fill="FFFFFF"/>
          </w:tcPr>
          <w:p w:rsidR="00ED37D7" w:rsidRPr="006E37C6" w:rsidRDefault="00AC7B58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</w:tcPr>
          <w:p w:rsidR="00ED37D7" w:rsidRPr="006E37C6" w:rsidRDefault="00AC7B58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026" w:type="pct"/>
            <w:shd w:val="clear" w:color="000000" w:fill="FFFFFF"/>
          </w:tcPr>
          <w:p w:rsidR="00F05959" w:rsidRPr="000C0F34" w:rsidRDefault="00F05959" w:rsidP="00F05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XLIII. Społeczeństwo i gospodarka II Rzeczypospolitej.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1) charakteryzuje skalę i skutki wojennych zniszczeń, uwzględniając zaborowe „dziedzictwo”;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2) charakteryzuje strukturę społeczeństwa II Rzeczypospolitej, uwzględniając jego wielonarodowy, wielokulturowy i wieloreligijny charakter;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3) przedstawia i ocenia dokonania pierwszych lat odbudowy (m.in. reformy Władysława Grabskiego i unifikacja państwa);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4) omawia skutki światowego kryzysu gospodarczego na ziemiach polskich;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5) charakteryzuje i ocenia osiągnięcia gospodarcze II Rzeczypospolitej z lat 30. (m.in. reformy Eugeniusza Kwiatkowskiego).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Uczen</w:t>
            </w:r>
            <w:proofErr w:type="spellEnd"/>
            <w:r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́</w:t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 xml:space="preserve"> spełnia wymagania określone dla zakresu podstawowego, a ponadto: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1) charakteryzuje przemiany społeczne i gospodarcze w II Rzeczypospolitej, z uwzględnieniem problemu reformy rolnej;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2) analizuje stosunki narodowościowe i religijne na obszarze II Rzeczypospolitej;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3) ocenia politykę gospodarczą i społeczną władz II Rzeczypospolitej.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4) dostrzega obecność Polonii poza granicami kraju, z uwzględnieniem roli Związku Polaków w Niemczech.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D37D7" w:rsidRPr="006E37C6" w:rsidTr="00F05959">
        <w:trPr>
          <w:trHeight w:val="604"/>
        </w:trPr>
        <w:tc>
          <w:tcPr>
            <w:tcW w:w="758" w:type="pct"/>
            <w:shd w:val="clear" w:color="000000" w:fill="FFFFFF"/>
          </w:tcPr>
          <w:p w:rsidR="00ED37D7" w:rsidRPr="006E37C6" w:rsidRDefault="00AC7B58" w:rsidP="00AC7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Nauka i kultura II Rzeczpospolitej</w:t>
            </w:r>
          </w:p>
        </w:tc>
        <w:tc>
          <w:tcPr>
            <w:tcW w:w="608" w:type="pct"/>
            <w:shd w:val="clear" w:color="000000" w:fill="FFFFFF"/>
          </w:tcPr>
          <w:p w:rsidR="00ED37D7" w:rsidRPr="006E37C6" w:rsidRDefault="00F05959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pct"/>
            <w:shd w:val="clear" w:color="000000" w:fill="FFFFFF"/>
          </w:tcPr>
          <w:p w:rsidR="00ED37D7" w:rsidRPr="006E37C6" w:rsidRDefault="00F05959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26" w:type="pct"/>
            <w:shd w:val="clear" w:color="000000" w:fill="FFFFFF"/>
          </w:tcPr>
          <w:p w:rsidR="00F05959" w:rsidRPr="000C0F34" w:rsidRDefault="00F05959" w:rsidP="00F05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XLIV. Kultura i nauka w okresie II Rzeczypospolitej.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1) rozpoznaje osiągnięcia w dziedzinie kultury i nauki z okresu II Rzeczypospolitej oraz ich twórców;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2) charakteryzuje zróżnicowanie kulturowe II Rzeczypospolitej.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Uczen</w:t>
            </w:r>
            <w:proofErr w:type="spellEnd"/>
            <w:r w:rsidRPr="000C0F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́</w:t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 xml:space="preserve"> spełnia wymagania określone dla zakresu podstawowego, a ponadto: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1) opisuje proces upowszechniania oświaty w II Rzeczypospolitej;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2) ocenia dorobek II Rzeczypospolitej w dziedzinie kultury, nauki i sportu na tle europejskim;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F34">
              <w:rPr>
                <w:rFonts w:ascii="Times New Roman" w:hAnsi="Times New Roman" w:cs="Times New Roman"/>
                <w:sz w:val="24"/>
                <w:szCs w:val="24"/>
              </w:rPr>
              <w:t>3) charakteryzuje przejawy kultury masowej w Polsce międzywojennej.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3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0624A" w:rsidRPr="006E37C6" w:rsidTr="0080624A">
        <w:trPr>
          <w:trHeight w:val="320"/>
        </w:trPr>
        <w:tc>
          <w:tcPr>
            <w:tcW w:w="758" w:type="pct"/>
            <w:shd w:val="clear" w:color="auto" w:fill="F7CAAC" w:themeFill="accent2" w:themeFillTint="66"/>
          </w:tcPr>
          <w:p w:rsidR="0080624A" w:rsidRPr="006E37C6" w:rsidRDefault="0080624A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608" w:type="pct"/>
            <w:shd w:val="clear" w:color="auto" w:fill="F7CAAC" w:themeFill="accent2" w:themeFillTint="66"/>
          </w:tcPr>
          <w:p w:rsidR="0080624A" w:rsidRPr="006E37C6" w:rsidRDefault="008F7712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608" w:type="pct"/>
            <w:shd w:val="clear" w:color="auto" w:fill="F7CAAC" w:themeFill="accent2" w:themeFillTint="66"/>
          </w:tcPr>
          <w:p w:rsidR="0080624A" w:rsidRPr="006E37C6" w:rsidRDefault="008F7712" w:rsidP="00FB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026" w:type="pct"/>
            <w:shd w:val="clear" w:color="auto" w:fill="F7CAAC" w:themeFill="accent2" w:themeFillTint="66"/>
            <w:vAlign w:val="bottom"/>
          </w:tcPr>
          <w:p w:rsidR="0080624A" w:rsidRPr="006E37C6" w:rsidRDefault="0080624A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0624A" w:rsidRPr="006E37C6" w:rsidTr="0080624A">
        <w:trPr>
          <w:trHeight w:val="269"/>
        </w:trPr>
        <w:tc>
          <w:tcPr>
            <w:tcW w:w="5000" w:type="pct"/>
            <w:gridSpan w:val="4"/>
            <w:shd w:val="clear" w:color="000000" w:fill="FFFFFF"/>
          </w:tcPr>
          <w:p w:rsidR="0080624A" w:rsidRPr="006E37C6" w:rsidRDefault="0080624A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B3566" w:rsidRPr="006E37C6" w:rsidTr="00FB3566">
        <w:trPr>
          <w:trHeight w:val="255"/>
        </w:trPr>
        <w:tc>
          <w:tcPr>
            <w:tcW w:w="758" w:type="pct"/>
            <w:shd w:val="clear" w:color="000000" w:fill="B6D7A8"/>
            <w:vAlign w:val="bottom"/>
            <w:hideMark/>
          </w:tcPr>
          <w:p w:rsidR="00FB3566" w:rsidRPr="006E37C6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TEMATY </w:t>
            </w:r>
          </w:p>
          <w:p w:rsidR="00770A14" w:rsidRPr="006E37C6" w:rsidRDefault="00770A14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08" w:type="pct"/>
            <w:shd w:val="clear" w:color="000000" w:fill="FFFFFF"/>
            <w:vAlign w:val="bottom"/>
            <w:hideMark/>
          </w:tcPr>
          <w:p w:rsidR="00FB3566" w:rsidRPr="006E37C6" w:rsidRDefault="008F7712" w:rsidP="00D6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608" w:type="pct"/>
            <w:shd w:val="clear" w:color="000000" w:fill="FFFFFF"/>
            <w:vAlign w:val="bottom"/>
            <w:hideMark/>
          </w:tcPr>
          <w:p w:rsidR="00FB3566" w:rsidRPr="006E37C6" w:rsidRDefault="00946DFE" w:rsidP="00D6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101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:rsidR="00FB3566" w:rsidRPr="006E37C6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B3566" w:rsidRPr="006E37C6" w:rsidTr="00FB3566">
        <w:trPr>
          <w:trHeight w:val="255"/>
        </w:trPr>
        <w:tc>
          <w:tcPr>
            <w:tcW w:w="758" w:type="pct"/>
            <w:shd w:val="clear" w:color="000000" w:fill="B6D7A8"/>
            <w:vAlign w:val="bottom"/>
            <w:hideMark/>
          </w:tcPr>
          <w:p w:rsidR="00FB3566" w:rsidRPr="006E37C6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POWTÓRZENIA</w:t>
            </w:r>
          </w:p>
          <w:p w:rsidR="00770A14" w:rsidRPr="006E37C6" w:rsidRDefault="00770A14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08" w:type="pct"/>
            <w:shd w:val="clear" w:color="000000" w:fill="FFFFFF"/>
            <w:vAlign w:val="bottom"/>
            <w:hideMark/>
          </w:tcPr>
          <w:p w:rsidR="00FB3566" w:rsidRPr="006E37C6" w:rsidRDefault="00FB3566" w:rsidP="00D6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08" w:type="pct"/>
            <w:shd w:val="clear" w:color="000000" w:fill="FFFFFF"/>
            <w:vAlign w:val="bottom"/>
            <w:hideMark/>
          </w:tcPr>
          <w:p w:rsidR="00FB3566" w:rsidRPr="006E37C6" w:rsidRDefault="00FB3566" w:rsidP="00D6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:rsidR="00FB3566" w:rsidRPr="006E37C6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B3566" w:rsidRPr="006E37C6" w:rsidTr="00FB3566">
        <w:trPr>
          <w:trHeight w:val="255"/>
        </w:trPr>
        <w:tc>
          <w:tcPr>
            <w:tcW w:w="758" w:type="pct"/>
            <w:shd w:val="clear" w:color="000000" w:fill="B6D7A8"/>
            <w:vAlign w:val="bottom"/>
            <w:hideMark/>
          </w:tcPr>
          <w:p w:rsidR="00FB3566" w:rsidRPr="006E37C6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SPRAWDZIANY</w:t>
            </w:r>
          </w:p>
          <w:p w:rsidR="00770A14" w:rsidRPr="006E37C6" w:rsidRDefault="00770A14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08" w:type="pct"/>
            <w:shd w:val="clear" w:color="000000" w:fill="FFFFFF"/>
            <w:vAlign w:val="bottom"/>
            <w:hideMark/>
          </w:tcPr>
          <w:p w:rsidR="00FB3566" w:rsidRPr="006E37C6" w:rsidRDefault="00FB3566" w:rsidP="00D6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08" w:type="pct"/>
            <w:shd w:val="clear" w:color="000000" w:fill="FFFFFF"/>
            <w:vAlign w:val="bottom"/>
            <w:hideMark/>
          </w:tcPr>
          <w:p w:rsidR="00FB3566" w:rsidRPr="006E37C6" w:rsidRDefault="00FB3566" w:rsidP="00D6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:rsidR="00FB3566" w:rsidRPr="006E37C6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B3566" w:rsidRPr="006E37C6" w:rsidTr="00FB3566">
        <w:trPr>
          <w:trHeight w:val="255"/>
        </w:trPr>
        <w:tc>
          <w:tcPr>
            <w:tcW w:w="758" w:type="pct"/>
            <w:shd w:val="clear" w:color="000000" w:fill="B6D7A8"/>
            <w:vAlign w:val="bottom"/>
            <w:hideMark/>
          </w:tcPr>
          <w:p w:rsidR="00770A14" w:rsidRPr="006E37C6" w:rsidRDefault="00FB3566" w:rsidP="00770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 DYSPOZYCJI NAUCZYCIELA</w:t>
            </w:r>
          </w:p>
        </w:tc>
        <w:tc>
          <w:tcPr>
            <w:tcW w:w="608" w:type="pct"/>
            <w:shd w:val="clear" w:color="000000" w:fill="FFFFFF"/>
            <w:vAlign w:val="bottom"/>
            <w:hideMark/>
          </w:tcPr>
          <w:p w:rsidR="00FB3566" w:rsidRPr="006E37C6" w:rsidRDefault="008F7712" w:rsidP="00D6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08" w:type="pct"/>
            <w:shd w:val="clear" w:color="000000" w:fill="FFFFFF"/>
            <w:vAlign w:val="bottom"/>
            <w:hideMark/>
          </w:tcPr>
          <w:p w:rsidR="00FB3566" w:rsidRPr="006E37C6" w:rsidRDefault="00946DFE" w:rsidP="00D6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026" w:type="pct"/>
            <w:shd w:val="clear" w:color="000000" w:fill="FFFFFF"/>
            <w:vAlign w:val="bottom"/>
            <w:hideMark/>
          </w:tcPr>
          <w:p w:rsidR="00FB3566" w:rsidRPr="006E37C6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B3566" w:rsidRPr="006E37C6" w:rsidTr="00FB3566">
        <w:trPr>
          <w:trHeight w:val="255"/>
        </w:trPr>
        <w:tc>
          <w:tcPr>
            <w:tcW w:w="758" w:type="pct"/>
            <w:shd w:val="clear" w:color="000000" w:fill="B6D7A8"/>
            <w:noWrap/>
            <w:vAlign w:val="bottom"/>
            <w:hideMark/>
          </w:tcPr>
          <w:p w:rsidR="00FB3566" w:rsidRPr="006E37C6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</w:t>
            </w:r>
          </w:p>
          <w:p w:rsidR="00770A14" w:rsidRPr="006E37C6" w:rsidRDefault="00770A14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FB3566" w:rsidRPr="006E37C6" w:rsidRDefault="00FB3566" w:rsidP="00D6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608" w:type="pct"/>
            <w:shd w:val="clear" w:color="auto" w:fill="auto"/>
            <w:noWrap/>
            <w:vAlign w:val="bottom"/>
            <w:hideMark/>
          </w:tcPr>
          <w:p w:rsidR="00FB3566" w:rsidRPr="006E37C6" w:rsidRDefault="008F7712" w:rsidP="00D6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3026" w:type="pct"/>
            <w:shd w:val="clear" w:color="auto" w:fill="auto"/>
            <w:noWrap/>
            <w:vAlign w:val="bottom"/>
            <w:hideMark/>
          </w:tcPr>
          <w:p w:rsidR="00FB3566" w:rsidRPr="006E37C6" w:rsidRDefault="00FB3566" w:rsidP="00FB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0716E6" w:rsidRPr="006E37C6" w:rsidRDefault="000716E6">
      <w:pPr>
        <w:rPr>
          <w:rFonts w:ascii="Times New Roman" w:hAnsi="Times New Roman" w:cs="Times New Roman"/>
          <w:sz w:val="24"/>
          <w:szCs w:val="24"/>
        </w:rPr>
      </w:pPr>
    </w:p>
    <w:sectPr w:rsidR="000716E6" w:rsidRPr="006E37C6" w:rsidSect="00A26A9E">
      <w:headerReference w:type="default" r:id="rId8"/>
      <w:pgSz w:w="16838" w:h="11906" w:orient="landscape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09F" w:rsidRDefault="0034509F" w:rsidP="00FB3566">
      <w:pPr>
        <w:spacing w:after="0" w:line="240" w:lineRule="auto"/>
      </w:pPr>
      <w:r>
        <w:separator/>
      </w:r>
    </w:p>
  </w:endnote>
  <w:endnote w:type="continuationSeparator" w:id="0">
    <w:p w:rsidR="0034509F" w:rsidRDefault="0034509F" w:rsidP="00FB3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09F" w:rsidRDefault="0034509F" w:rsidP="00FB3566">
      <w:pPr>
        <w:spacing w:after="0" w:line="240" w:lineRule="auto"/>
      </w:pPr>
      <w:r>
        <w:separator/>
      </w:r>
    </w:p>
  </w:footnote>
  <w:footnote w:type="continuationSeparator" w:id="0">
    <w:p w:rsidR="0034509F" w:rsidRDefault="0034509F" w:rsidP="00FB3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712" w:rsidRDefault="008F7712" w:rsidP="00FB3566">
    <w:pPr>
      <w:pStyle w:val="Nagwek"/>
      <w:jc w:val="center"/>
    </w:pPr>
    <w:r>
      <w:t>Rozkład materiału do klasy 3 liceum i technikum do serii podręczników „Ślady czasu” wydawanych przez Gdańskie Wydawnictwo Oświatowe</w:t>
    </w:r>
  </w:p>
  <w:p w:rsidR="008F7712" w:rsidRDefault="008F7712">
    <w:pPr>
      <w:pStyle w:val="Nagwek"/>
    </w:pPr>
  </w:p>
  <w:p w:rsidR="008F7712" w:rsidRDefault="008F77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40B1A"/>
    <w:multiLevelType w:val="hybridMultilevel"/>
    <w:tmpl w:val="894A5FB0"/>
    <w:lvl w:ilvl="0" w:tplc="D810827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72B2847"/>
    <w:multiLevelType w:val="hybridMultilevel"/>
    <w:tmpl w:val="451E0D6C"/>
    <w:lvl w:ilvl="0" w:tplc="4894D6C8">
      <w:start w:val="1"/>
      <w:numFmt w:val="decimal"/>
      <w:lvlText w:val="%1)"/>
      <w:lvlJc w:val="left"/>
      <w:pPr>
        <w:ind w:left="720" w:hanging="360"/>
      </w:pPr>
      <w:rPr>
        <w:rFonts w:hint="default"/>
        <w:color w:val="6600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55220"/>
    <w:multiLevelType w:val="hybridMultilevel"/>
    <w:tmpl w:val="FF9492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66"/>
    <w:rsid w:val="000037DD"/>
    <w:rsid w:val="000139D8"/>
    <w:rsid w:val="000716E6"/>
    <w:rsid w:val="0007374D"/>
    <w:rsid w:val="000A41B3"/>
    <w:rsid w:val="000C0F34"/>
    <w:rsid w:val="000D0CFE"/>
    <w:rsid w:val="000E2A40"/>
    <w:rsid w:val="001230D2"/>
    <w:rsid w:val="00145312"/>
    <w:rsid w:val="00156BD7"/>
    <w:rsid w:val="001733EF"/>
    <w:rsid w:val="001829AD"/>
    <w:rsid w:val="001A3A40"/>
    <w:rsid w:val="002E4E35"/>
    <w:rsid w:val="002F4A64"/>
    <w:rsid w:val="002F6D0E"/>
    <w:rsid w:val="0034509F"/>
    <w:rsid w:val="0040690D"/>
    <w:rsid w:val="0043281F"/>
    <w:rsid w:val="00453A08"/>
    <w:rsid w:val="004E2395"/>
    <w:rsid w:val="004E66A8"/>
    <w:rsid w:val="005178B0"/>
    <w:rsid w:val="00524D93"/>
    <w:rsid w:val="0057338B"/>
    <w:rsid w:val="00583184"/>
    <w:rsid w:val="00585481"/>
    <w:rsid w:val="0062208D"/>
    <w:rsid w:val="006E37C6"/>
    <w:rsid w:val="007320FC"/>
    <w:rsid w:val="007517FD"/>
    <w:rsid w:val="00770A14"/>
    <w:rsid w:val="007A3F2D"/>
    <w:rsid w:val="007A3F37"/>
    <w:rsid w:val="007B1AA1"/>
    <w:rsid w:val="007C076E"/>
    <w:rsid w:val="00804B05"/>
    <w:rsid w:val="0080624A"/>
    <w:rsid w:val="00814194"/>
    <w:rsid w:val="008444FB"/>
    <w:rsid w:val="00882FE9"/>
    <w:rsid w:val="008C70EB"/>
    <w:rsid w:val="008E4727"/>
    <w:rsid w:val="008F7712"/>
    <w:rsid w:val="00925BE8"/>
    <w:rsid w:val="00931EDD"/>
    <w:rsid w:val="00946DFE"/>
    <w:rsid w:val="009F6F4A"/>
    <w:rsid w:val="00A26A9E"/>
    <w:rsid w:val="00A4667C"/>
    <w:rsid w:val="00A471A3"/>
    <w:rsid w:val="00AC05F9"/>
    <w:rsid w:val="00AC6C34"/>
    <w:rsid w:val="00AC7B58"/>
    <w:rsid w:val="00B04D9B"/>
    <w:rsid w:val="00B75E46"/>
    <w:rsid w:val="00B82A94"/>
    <w:rsid w:val="00BD4F8E"/>
    <w:rsid w:val="00BE11D7"/>
    <w:rsid w:val="00C502D7"/>
    <w:rsid w:val="00CA4E10"/>
    <w:rsid w:val="00CD2A7D"/>
    <w:rsid w:val="00CD4437"/>
    <w:rsid w:val="00CE06E1"/>
    <w:rsid w:val="00D04636"/>
    <w:rsid w:val="00D652A8"/>
    <w:rsid w:val="00D80D89"/>
    <w:rsid w:val="00DE2564"/>
    <w:rsid w:val="00E167FF"/>
    <w:rsid w:val="00ED37D7"/>
    <w:rsid w:val="00EE1DE0"/>
    <w:rsid w:val="00F05959"/>
    <w:rsid w:val="00F27A70"/>
    <w:rsid w:val="00F53EAB"/>
    <w:rsid w:val="00F94819"/>
    <w:rsid w:val="00FA6D84"/>
    <w:rsid w:val="00FB0AEB"/>
    <w:rsid w:val="00FB3566"/>
    <w:rsid w:val="00FB4DE8"/>
    <w:rsid w:val="00FD0F16"/>
    <w:rsid w:val="00FE68FA"/>
    <w:rsid w:val="00FF2F98"/>
    <w:rsid w:val="00FF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5E9BF-446B-4EED-8384-4FE6C922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3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566"/>
  </w:style>
  <w:style w:type="paragraph" w:styleId="Stopka">
    <w:name w:val="footer"/>
    <w:basedOn w:val="Normalny"/>
    <w:link w:val="StopkaZnak"/>
    <w:uiPriority w:val="99"/>
    <w:unhideWhenUsed/>
    <w:rsid w:val="00FB3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566"/>
  </w:style>
  <w:style w:type="paragraph" w:styleId="Tekstdymka">
    <w:name w:val="Balloon Text"/>
    <w:basedOn w:val="Normalny"/>
    <w:link w:val="TekstdymkaZnak"/>
    <w:uiPriority w:val="99"/>
    <w:semiHidden/>
    <w:unhideWhenUsed/>
    <w:rsid w:val="00FA6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D8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D0CF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444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44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44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44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44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2A735-58FA-4815-893A-CD57C496F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3357</Words>
  <Characters>20145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Agata Bugiel</cp:lastModifiedBy>
  <cp:revision>31</cp:revision>
  <cp:lastPrinted>2022-08-18T17:43:00Z</cp:lastPrinted>
  <dcterms:created xsi:type="dcterms:W3CDTF">2019-05-17T07:43:00Z</dcterms:created>
  <dcterms:modified xsi:type="dcterms:W3CDTF">2022-08-18T17:43:00Z</dcterms:modified>
</cp:coreProperties>
</file>