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EE" w:rsidRPr="00B939AF" w:rsidRDefault="001521EE" w:rsidP="001521EE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69364E" w:rsidRPr="00890BDF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890BDF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890BDF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890BDF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1521EE" w:rsidRDefault="001521EE" w:rsidP="0069364E">
      <w:pPr>
        <w:spacing w:after="80"/>
        <w:jc w:val="both"/>
        <w:rPr>
          <w:rFonts w:ascii="Cambria" w:hAnsi="Cambria"/>
          <w:b/>
          <w:sz w:val="23"/>
          <w:szCs w:val="23"/>
        </w:rPr>
      </w:pPr>
      <w:r w:rsidRPr="001521EE">
        <w:rPr>
          <w:rFonts w:ascii="Cambria" w:hAnsi="Cambria"/>
          <w:b/>
          <w:i/>
          <w:szCs w:val="23"/>
        </w:rPr>
        <w:t>Prezydent Ukrainy Leonid Krawczuk w rozmowie z „Tygodnikiem Powszechnym”</w:t>
      </w:r>
      <w:r w:rsidRPr="001521EE">
        <w:rPr>
          <w:rFonts w:ascii="Cambria" w:hAnsi="Cambria"/>
          <w:b/>
          <w:szCs w:val="23"/>
        </w:rPr>
        <w:t>, 2007 r.</w:t>
      </w:r>
    </w:p>
    <w:p w:rsidR="00C811A9" w:rsidRPr="00890BDF" w:rsidRDefault="00C811A9" w:rsidP="00C811A9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890BDF">
        <w:rPr>
          <w:rFonts w:asciiTheme="majorHAnsi" w:hAnsiTheme="majorHAnsi"/>
          <w:i/>
          <w:sz w:val="24"/>
          <w:szCs w:val="26"/>
        </w:rPr>
        <w:t>W sumie to stwierdzenie nie było żadną rewolucją,</w:t>
      </w:r>
      <w:r w:rsidR="00061544" w:rsidRPr="00890BDF">
        <w:rPr>
          <w:rFonts w:asciiTheme="majorHAnsi" w:hAnsiTheme="majorHAnsi"/>
          <w:i/>
          <w:sz w:val="24"/>
          <w:szCs w:val="26"/>
        </w:rPr>
        <w:t xml:space="preserve"> bo przecież w radzieckiej kon</w:t>
      </w:r>
      <w:r w:rsidRPr="00890BDF">
        <w:rPr>
          <w:rFonts w:asciiTheme="majorHAnsi" w:hAnsiTheme="majorHAnsi"/>
          <w:i/>
          <w:sz w:val="24"/>
          <w:szCs w:val="26"/>
        </w:rPr>
        <w:t>sty</w:t>
      </w:r>
      <w:r w:rsidR="007B673D" w:rsidRPr="00890BDF">
        <w:rPr>
          <w:rFonts w:asciiTheme="majorHAnsi" w:hAnsiTheme="majorHAnsi"/>
          <w:i/>
          <w:sz w:val="24"/>
          <w:szCs w:val="26"/>
        </w:rPr>
        <w:softHyphen/>
      </w:r>
      <w:r w:rsidRPr="00890BDF">
        <w:rPr>
          <w:rFonts w:asciiTheme="majorHAnsi" w:hAnsiTheme="majorHAnsi"/>
          <w:i/>
          <w:sz w:val="24"/>
          <w:szCs w:val="26"/>
        </w:rPr>
        <w:t>tucji by</w:t>
      </w:r>
      <w:r w:rsidR="00890BDF">
        <w:rPr>
          <w:rFonts w:asciiTheme="majorHAnsi" w:hAnsiTheme="majorHAnsi"/>
          <w:i/>
          <w:sz w:val="24"/>
          <w:szCs w:val="26"/>
        </w:rPr>
        <w:softHyphen/>
      </w:r>
      <w:r w:rsidRPr="00890BDF">
        <w:rPr>
          <w:rFonts w:asciiTheme="majorHAnsi" w:hAnsiTheme="majorHAnsi"/>
          <w:i/>
          <w:sz w:val="24"/>
          <w:szCs w:val="26"/>
        </w:rPr>
        <w:t>ło zapisane, że republiki mają prawo</w:t>
      </w:r>
      <w:r w:rsidR="00061544" w:rsidRPr="00890BDF">
        <w:rPr>
          <w:rFonts w:asciiTheme="majorHAnsi" w:hAnsiTheme="majorHAnsi"/>
          <w:i/>
          <w:sz w:val="24"/>
          <w:szCs w:val="26"/>
        </w:rPr>
        <w:t xml:space="preserve"> do samostanowienia i dobrowol</w:t>
      </w:r>
      <w:r w:rsidR="00890BDF">
        <w:rPr>
          <w:rFonts w:asciiTheme="majorHAnsi" w:hAnsiTheme="majorHAnsi"/>
          <w:i/>
          <w:sz w:val="24"/>
          <w:szCs w:val="26"/>
        </w:rPr>
        <w:t>nego wystąpienia z </w:t>
      </w:r>
      <w:r w:rsidRPr="00890BDF">
        <w:rPr>
          <w:rFonts w:asciiTheme="majorHAnsi" w:hAnsiTheme="majorHAnsi"/>
          <w:i/>
          <w:sz w:val="24"/>
          <w:szCs w:val="26"/>
        </w:rPr>
        <w:t>sojuszu. Z drugiej strony Związek Radziecki był żywym organizmem. Jego serce jeszcze tętniło. Kilkumi</w:t>
      </w:r>
      <w:r w:rsidR="00061544" w:rsidRPr="00890BDF">
        <w:rPr>
          <w:rFonts w:asciiTheme="majorHAnsi" w:hAnsiTheme="majorHAnsi"/>
          <w:i/>
          <w:sz w:val="24"/>
          <w:szCs w:val="26"/>
        </w:rPr>
        <w:t>lionowa armia, wywiad, kontrwy</w:t>
      </w:r>
      <w:r w:rsidRPr="00890BDF">
        <w:rPr>
          <w:rFonts w:asciiTheme="majorHAnsi" w:hAnsiTheme="majorHAnsi"/>
          <w:i/>
          <w:sz w:val="24"/>
          <w:szCs w:val="26"/>
        </w:rPr>
        <w:t xml:space="preserve">wiad, </w:t>
      </w:r>
      <w:r w:rsidR="00061544" w:rsidRPr="00890BDF">
        <w:rPr>
          <w:rFonts w:asciiTheme="majorHAnsi" w:hAnsiTheme="majorHAnsi"/>
          <w:i/>
          <w:sz w:val="24"/>
          <w:szCs w:val="26"/>
        </w:rPr>
        <w:t>KGB. Sta</w:t>
      </w:r>
      <w:r w:rsidR="007B673D" w:rsidRPr="00890BDF">
        <w:rPr>
          <w:rFonts w:asciiTheme="majorHAnsi" w:hAnsiTheme="majorHAnsi"/>
          <w:i/>
          <w:sz w:val="24"/>
          <w:szCs w:val="26"/>
        </w:rPr>
        <w:softHyphen/>
      </w:r>
      <w:r w:rsidR="00061544" w:rsidRPr="00890BDF">
        <w:rPr>
          <w:rFonts w:asciiTheme="majorHAnsi" w:hAnsiTheme="majorHAnsi"/>
          <w:i/>
          <w:sz w:val="24"/>
          <w:szCs w:val="26"/>
        </w:rPr>
        <w:t>wiając podpis pod poro</w:t>
      </w:r>
      <w:r w:rsidR="00890BDF">
        <w:rPr>
          <w:rFonts w:asciiTheme="majorHAnsi" w:hAnsiTheme="majorHAnsi"/>
          <w:i/>
          <w:sz w:val="24"/>
          <w:szCs w:val="26"/>
        </w:rPr>
        <w:softHyphen/>
      </w:r>
      <w:r w:rsidRPr="00890BDF">
        <w:rPr>
          <w:rFonts w:asciiTheme="majorHAnsi" w:hAnsiTheme="majorHAnsi"/>
          <w:i/>
          <w:sz w:val="24"/>
          <w:szCs w:val="26"/>
        </w:rPr>
        <w:t>zu</w:t>
      </w:r>
      <w:r w:rsidR="00890BDF">
        <w:rPr>
          <w:rFonts w:asciiTheme="majorHAnsi" w:hAnsiTheme="majorHAnsi"/>
          <w:i/>
          <w:sz w:val="24"/>
          <w:szCs w:val="26"/>
        </w:rPr>
        <w:softHyphen/>
      </w:r>
      <w:r w:rsidRPr="00890BDF">
        <w:rPr>
          <w:rFonts w:asciiTheme="majorHAnsi" w:hAnsiTheme="majorHAnsi"/>
          <w:i/>
          <w:sz w:val="24"/>
          <w:szCs w:val="26"/>
        </w:rPr>
        <w:t>mieniem o upadku ZSRR, czułem, że zabijam Imperium. Bałem się. Nazajutrz mogła rozpo</w:t>
      </w:r>
      <w:r w:rsidR="00890BDF">
        <w:rPr>
          <w:rFonts w:asciiTheme="majorHAnsi" w:hAnsiTheme="majorHAnsi"/>
          <w:i/>
          <w:sz w:val="24"/>
          <w:szCs w:val="26"/>
        </w:rPr>
        <w:softHyphen/>
      </w:r>
      <w:r w:rsidRPr="00890BDF">
        <w:rPr>
          <w:rFonts w:asciiTheme="majorHAnsi" w:hAnsiTheme="majorHAnsi"/>
          <w:i/>
          <w:sz w:val="24"/>
          <w:szCs w:val="26"/>
        </w:rPr>
        <w:t>cząć się wojna...</w:t>
      </w:r>
    </w:p>
    <w:p w:rsidR="001521EE" w:rsidRDefault="001521EE" w:rsidP="001521EE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1521EE">
        <w:rPr>
          <w:rFonts w:asciiTheme="majorHAnsi" w:hAnsiTheme="majorHAnsi"/>
          <w:i/>
          <w:sz w:val="20"/>
          <w:szCs w:val="20"/>
        </w:rPr>
        <w:t xml:space="preserve">„Tygodnik Powszechny” o roli Jelcyna w rozpadzie ZSRR </w:t>
      </w:r>
      <w:r w:rsidRPr="001521EE">
        <w:rPr>
          <w:rFonts w:asciiTheme="majorHAnsi" w:hAnsiTheme="majorHAnsi"/>
          <w:sz w:val="20"/>
          <w:szCs w:val="20"/>
        </w:rPr>
        <w:t>[dostęp: 23.</w:t>
      </w:r>
      <w:r>
        <w:rPr>
          <w:rFonts w:asciiTheme="majorHAnsi" w:hAnsiTheme="majorHAnsi"/>
          <w:sz w:val="20"/>
          <w:szCs w:val="20"/>
        </w:rPr>
        <w:t>12</w:t>
      </w:r>
      <w:r w:rsidRPr="001521EE">
        <w:rPr>
          <w:rFonts w:asciiTheme="majorHAnsi" w:hAnsiTheme="majorHAnsi"/>
          <w:sz w:val="20"/>
          <w:szCs w:val="20"/>
        </w:rPr>
        <w:t>.20</w:t>
      </w:r>
      <w:r>
        <w:rPr>
          <w:rFonts w:asciiTheme="majorHAnsi" w:hAnsiTheme="majorHAnsi"/>
          <w:sz w:val="20"/>
          <w:szCs w:val="20"/>
        </w:rPr>
        <w:t>24</w:t>
      </w:r>
      <w:r w:rsidRPr="001521EE">
        <w:rPr>
          <w:rFonts w:asciiTheme="majorHAnsi" w:hAnsiTheme="majorHAnsi"/>
          <w:sz w:val="20"/>
          <w:szCs w:val="20"/>
        </w:rPr>
        <w:t xml:space="preserve"> &lt;http://www.rmf24.pl/</w:t>
      </w:r>
    </w:p>
    <w:p w:rsidR="00D5669F" w:rsidRPr="001521EE" w:rsidRDefault="001521EE" w:rsidP="001521EE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1521EE">
        <w:rPr>
          <w:rFonts w:asciiTheme="majorHAnsi" w:hAnsiTheme="majorHAnsi"/>
          <w:sz w:val="20"/>
          <w:szCs w:val="20"/>
        </w:rPr>
        <w:t>fakty/polska/news-tygodnik-powszechnyo-roli-jelcyn</w:t>
      </w:r>
      <w:bookmarkStart w:id="0" w:name="_GoBack"/>
      <w:bookmarkEnd w:id="0"/>
      <w:r w:rsidRPr="001521EE">
        <w:rPr>
          <w:rFonts w:asciiTheme="majorHAnsi" w:hAnsiTheme="majorHAnsi"/>
          <w:sz w:val="20"/>
          <w:szCs w:val="20"/>
        </w:rPr>
        <w:t>a-w-rozpadzie-zsrr,nId,186951&gt;]</w:t>
      </w:r>
      <w:r w:rsidRPr="001521EE">
        <w:rPr>
          <w:rFonts w:asciiTheme="majorHAnsi" w:hAnsiTheme="majorHAnsi"/>
          <w:sz w:val="20"/>
          <w:szCs w:val="20"/>
        </w:rPr>
        <w:t>.</w:t>
      </w:r>
    </w:p>
    <w:p w:rsidR="001521EE" w:rsidRDefault="001521EE" w:rsidP="001521EE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890BDF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b/>
          <w:sz w:val="24"/>
          <w:szCs w:val="26"/>
        </w:rPr>
        <w:t>1.</w:t>
      </w:r>
      <w:r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Zgodnie z opinią Leonida Krawczuka decyzja o rozwiązaniu ZSRR</w:t>
      </w:r>
    </w:p>
    <w:p w:rsidR="0038708F" w:rsidRPr="00890BDF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a)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 xml:space="preserve">była niezgodna z prawem. </w:t>
      </w:r>
    </w:p>
    <w:p w:rsidR="0038708F" w:rsidRPr="00890BDF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b)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była usankcjonowana zapisami w konstytucji tego państwa.</w:t>
      </w:r>
    </w:p>
    <w:p w:rsidR="0038708F" w:rsidRPr="00890BDF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c)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7B673D" w:rsidRPr="00890BDF">
        <w:rPr>
          <w:rFonts w:asciiTheme="majorHAnsi" w:hAnsiTheme="majorHAnsi"/>
          <w:sz w:val="24"/>
          <w:szCs w:val="26"/>
        </w:rPr>
        <w:t>stanowiła pogwałcenie</w:t>
      </w:r>
      <w:r w:rsidR="00A32D14" w:rsidRPr="00890BDF">
        <w:rPr>
          <w:rFonts w:asciiTheme="majorHAnsi" w:hAnsiTheme="majorHAnsi"/>
          <w:sz w:val="24"/>
          <w:szCs w:val="26"/>
        </w:rPr>
        <w:t xml:space="preserve"> prawa międzynarodowego.</w:t>
      </w:r>
    </w:p>
    <w:p w:rsidR="0038708F" w:rsidRPr="00890BDF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d)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była dziejową koniecznością.</w:t>
      </w:r>
    </w:p>
    <w:p w:rsidR="00D5669F" w:rsidRPr="00890BDF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890BDF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b/>
          <w:sz w:val="24"/>
          <w:szCs w:val="26"/>
        </w:rPr>
        <w:t>2.</w:t>
      </w:r>
      <w:r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Efektem tej decyzji</w:t>
      </w:r>
    </w:p>
    <w:p w:rsidR="00D5669F" w:rsidRPr="00890BDF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a)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był wybuch wojny.</w:t>
      </w:r>
    </w:p>
    <w:p w:rsidR="00D5669F" w:rsidRPr="00890BDF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b)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był upadek ZSRR.</w:t>
      </w:r>
    </w:p>
    <w:p w:rsidR="00D5669F" w:rsidRPr="00890BDF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890BDF">
        <w:rPr>
          <w:rFonts w:asciiTheme="majorHAnsi" w:hAnsiTheme="majorHAnsi"/>
          <w:sz w:val="24"/>
          <w:szCs w:val="26"/>
        </w:rPr>
        <w:t>c)</w:t>
      </w:r>
      <w:r w:rsidR="007453A1" w:rsidRPr="00890BDF">
        <w:rPr>
          <w:rFonts w:asciiTheme="majorHAnsi" w:hAnsiTheme="majorHAnsi"/>
          <w:sz w:val="24"/>
          <w:szCs w:val="26"/>
        </w:rPr>
        <w:t xml:space="preserve"> </w:t>
      </w:r>
      <w:r w:rsidR="00A32D14" w:rsidRPr="00890BDF">
        <w:rPr>
          <w:rFonts w:asciiTheme="majorHAnsi" w:hAnsiTheme="majorHAnsi"/>
          <w:sz w:val="24"/>
          <w:szCs w:val="26"/>
        </w:rPr>
        <w:t>była rewolucja.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8708F" w:rsidRPr="005F2CAF" w:rsidRDefault="0038708F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9364E" w:rsidRPr="005F2CAF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1521EE" w:rsidRDefault="001521EE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1521EE" w:rsidRDefault="001521EE" w:rsidP="001521EE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1521EE" w:rsidRPr="00B939AF" w:rsidTr="000F3D6A">
        <w:tc>
          <w:tcPr>
            <w:tcW w:w="1152" w:type="dxa"/>
            <w:vAlign w:val="center"/>
          </w:tcPr>
          <w:p w:rsidR="001521EE" w:rsidRPr="00B939AF" w:rsidRDefault="001521EE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1521EE" w:rsidRPr="00B939AF" w:rsidRDefault="001521EE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1521EE" w:rsidTr="000F3D6A">
        <w:tc>
          <w:tcPr>
            <w:tcW w:w="1152" w:type="dxa"/>
          </w:tcPr>
          <w:p w:rsidR="001521EE" w:rsidRDefault="001521EE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1521EE" w:rsidRDefault="001521EE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521EE" w:rsidRPr="00B41482" w:rsidTr="000F3D6A">
        <w:tc>
          <w:tcPr>
            <w:tcW w:w="1152" w:type="dxa"/>
          </w:tcPr>
          <w:p w:rsidR="001521EE" w:rsidRDefault="001521EE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1521EE" w:rsidRDefault="001521EE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sectPr w:rsidR="00D566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EE" w:rsidRDefault="001521EE" w:rsidP="001521EE">
      <w:pPr>
        <w:spacing w:after="0" w:line="240" w:lineRule="auto"/>
      </w:pPr>
      <w:r>
        <w:separator/>
      </w:r>
    </w:p>
  </w:endnote>
  <w:endnote w:type="continuationSeparator" w:id="0">
    <w:p w:rsidR="001521EE" w:rsidRDefault="001521EE" w:rsidP="001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1521EE" w:rsidRDefault="001521EE" w:rsidP="001521EE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BDF2CF8" wp14:editId="0BCCE08B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521EE" w:rsidRPr="000A50B4" w:rsidRDefault="001521EE" w:rsidP="001521E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EE" w:rsidRDefault="001521EE" w:rsidP="001521EE">
      <w:pPr>
        <w:spacing w:after="0" w:line="240" w:lineRule="auto"/>
      </w:pPr>
      <w:r>
        <w:separator/>
      </w:r>
    </w:p>
  </w:footnote>
  <w:footnote w:type="continuationSeparator" w:id="0">
    <w:p w:rsidR="001521EE" w:rsidRDefault="001521EE" w:rsidP="00152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61544"/>
    <w:rsid w:val="001521EE"/>
    <w:rsid w:val="001825DE"/>
    <w:rsid w:val="002414E9"/>
    <w:rsid w:val="002B72B4"/>
    <w:rsid w:val="0038708F"/>
    <w:rsid w:val="003D62DD"/>
    <w:rsid w:val="00575D75"/>
    <w:rsid w:val="005909B7"/>
    <w:rsid w:val="0069364E"/>
    <w:rsid w:val="006B2583"/>
    <w:rsid w:val="007453A1"/>
    <w:rsid w:val="007B673D"/>
    <w:rsid w:val="00890BDF"/>
    <w:rsid w:val="00A32D14"/>
    <w:rsid w:val="00B90613"/>
    <w:rsid w:val="00BD6631"/>
    <w:rsid w:val="00C811A9"/>
    <w:rsid w:val="00CE0A71"/>
    <w:rsid w:val="00D5669F"/>
    <w:rsid w:val="00D966D2"/>
    <w:rsid w:val="00D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0658-995A-49A5-AF80-D7C992B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1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1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8</cp:revision>
  <dcterms:created xsi:type="dcterms:W3CDTF">2020-03-21T11:10:00Z</dcterms:created>
  <dcterms:modified xsi:type="dcterms:W3CDTF">2024-12-25T15:57:00Z</dcterms:modified>
</cp:coreProperties>
</file>