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076" w:rsidRPr="00B939AF" w:rsidRDefault="00457076" w:rsidP="00457076">
      <w:pPr>
        <w:rPr>
          <w:rFonts w:ascii="Cambria" w:hAnsi="Cambria"/>
          <w:b/>
          <w:color w:val="C00000"/>
          <w:sz w:val="32"/>
          <w:szCs w:val="26"/>
        </w:rPr>
      </w:pPr>
      <w:r w:rsidRPr="00B939AF">
        <w:rPr>
          <w:rFonts w:ascii="Cambria" w:hAnsi="Cambria"/>
          <w:b/>
          <w:color w:val="C00000"/>
          <w:sz w:val="32"/>
          <w:szCs w:val="26"/>
        </w:rPr>
        <w:t>Praca z tekstem</w:t>
      </w:r>
    </w:p>
    <w:p w:rsidR="001D1B6D" w:rsidRPr="00F96D75" w:rsidRDefault="001D1B6D" w:rsidP="001D1B6D">
      <w:pPr>
        <w:spacing w:after="80"/>
        <w:jc w:val="both"/>
        <w:rPr>
          <w:rFonts w:ascii="Cambria" w:hAnsi="Cambria" w:cs="NaomiSansEFN-Italic"/>
          <w:bCs/>
          <w:iCs/>
          <w:sz w:val="24"/>
          <w:szCs w:val="26"/>
        </w:rPr>
      </w:pPr>
      <w:r w:rsidRPr="00F96D75">
        <w:rPr>
          <w:rFonts w:ascii="Cambria" w:hAnsi="Cambria" w:cs="NaomiSansEFN-Italic"/>
          <w:bCs/>
          <w:iCs/>
          <w:sz w:val="24"/>
          <w:szCs w:val="26"/>
        </w:rPr>
        <w:t>Przeczytaj tekst źródłowy, a następnie dokończ zdani</w:t>
      </w:r>
      <w:r w:rsidR="0037135B" w:rsidRPr="00F96D75">
        <w:rPr>
          <w:rFonts w:ascii="Cambria" w:hAnsi="Cambria" w:cs="NaomiSansEFN-Italic"/>
          <w:bCs/>
          <w:iCs/>
          <w:sz w:val="24"/>
          <w:szCs w:val="26"/>
        </w:rPr>
        <w:t>e. Wybierz właściwą odpo</w:t>
      </w:r>
      <w:r w:rsidR="0037135B" w:rsidRPr="00F96D75">
        <w:rPr>
          <w:rFonts w:ascii="Cambria" w:hAnsi="Cambria" w:cs="NaomiSansEFN-Italic"/>
          <w:bCs/>
          <w:iCs/>
          <w:sz w:val="24"/>
          <w:szCs w:val="26"/>
        </w:rPr>
        <w:softHyphen/>
        <w:t>wiedź</w:t>
      </w:r>
      <w:r w:rsidRPr="00F96D75">
        <w:rPr>
          <w:rFonts w:ascii="Cambria" w:hAnsi="Cambria" w:cs="NaomiSansEFN-Italic"/>
          <w:bCs/>
          <w:iCs/>
          <w:sz w:val="24"/>
          <w:szCs w:val="26"/>
        </w:rPr>
        <w:t xml:space="preserve"> spośród podanych.</w:t>
      </w:r>
    </w:p>
    <w:p w:rsidR="001D1B6D" w:rsidRPr="00F96D75" w:rsidRDefault="001D1B6D" w:rsidP="001D1B6D">
      <w:pPr>
        <w:spacing w:after="80"/>
        <w:jc w:val="both"/>
        <w:rPr>
          <w:rFonts w:ascii="Cambria" w:hAnsi="Cambria" w:cs="NaomiSansEFN-Italic"/>
          <w:bCs/>
          <w:iCs/>
          <w:sz w:val="24"/>
          <w:szCs w:val="26"/>
        </w:rPr>
      </w:pPr>
    </w:p>
    <w:p w:rsidR="001D1B6D" w:rsidRPr="00F96D75" w:rsidRDefault="005E13E0" w:rsidP="005E13E0">
      <w:pPr>
        <w:spacing w:after="80" w:line="240" w:lineRule="auto"/>
        <w:rPr>
          <w:rFonts w:ascii="Cambria" w:hAnsi="Cambria"/>
          <w:b/>
          <w:sz w:val="24"/>
          <w:szCs w:val="26"/>
        </w:rPr>
      </w:pPr>
      <w:r>
        <w:rPr>
          <w:rFonts w:ascii="Cambria" w:hAnsi="Cambria"/>
          <w:b/>
          <w:i/>
          <w:sz w:val="24"/>
          <w:szCs w:val="26"/>
        </w:rPr>
        <w:t>Tajny raport o powstaniu warszawskim</w:t>
      </w:r>
      <w:r w:rsidRPr="005E13E0">
        <w:rPr>
          <w:rFonts w:ascii="Cambria" w:hAnsi="Cambria"/>
          <w:b/>
          <w:i/>
          <w:sz w:val="24"/>
          <w:szCs w:val="26"/>
        </w:rPr>
        <w:t xml:space="preserve"> niemieckiego gubernatora dystryktu warszawskiego Ludwiga Fischera</w:t>
      </w:r>
      <w:r w:rsidRPr="005E13E0">
        <w:rPr>
          <w:rFonts w:ascii="Cambria" w:hAnsi="Cambria"/>
          <w:b/>
          <w:sz w:val="24"/>
          <w:szCs w:val="26"/>
        </w:rPr>
        <w:t>, 20 XII 1944 r.</w:t>
      </w:r>
    </w:p>
    <w:p w:rsidR="001D1B6D" w:rsidRPr="00F96D75" w:rsidRDefault="001D1B6D" w:rsidP="0037135B">
      <w:pPr>
        <w:spacing w:after="80"/>
        <w:jc w:val="both"/>
        <w:rPr>
          <w:rFonts w:asciiTheme="majorHAnsi" w:hAnsiTheme="majorHAnsi"/>
          <w:i/>
          <w:sz w:val="24"/>
          <w:szCs w:val="26"/>
        </w:rPr>
      </w:pPr>
      <w:r w:rsidRPr="00F96D75">
        <w:rPr>
          <w:rFonts w:asciiTheme="majorHAnsi" w:hAnsiTheme="majorHAnsi"/>
          <w:i/>
          <w:sz w:val="24"/>
          <w:szCs w:val="26"/>
        </w:rPr>
        <w:t>Kiedy w Anglii w końcowej</w:t>
      </w:r>
      <w:r w:rsidR="00D2235E" w:rsidRPr="00F96D75">
        <w:rPr>
          <w:rFonts w:asciiTheme="majorHAnsi" w:hAnsiTheme="majorHAnsi"/>
          <w:i/>
          <w:sz w:val="24"/>
          <w:szCs w:val="26"/>
        </w:rPr>
        <w:t xml:space="preserve"> fa</w:t>
      </w:r>
      <w:r w:rsidRPr="00F96D75">
        <w:rPr>
          <w:rFonts w:asciiTheme="majorHAnsi" w:hAnsiTheme="majorHAnsi"/>
          <w:i/>
          <w:sz w:val="24"/>
          <w:szCs w:val="26"/>
        </w:rPr>
        <w:t>zie walki pisano łzawe artykuły o Warszawie i Churchil</w:t>
      </w:r>
      <w:r w:rsidR="00F96D75">
        <w:rPr>
          <w:rFonts w:asciiTheme="majorHAnsi" w:hAnsiTheme="majorHAnsi"/>
          <w:i/>
          <w:sz w:val="24"/>
          <w:szCs w:val="26"/>
        </w:rPr>
        <w:t>l z </w:t>
      </w:r>
      <w:r w:rsidRPr="00F96D75">
        <w:rPr>
          <w:rFonts w:asciiTheme="majorHAnsi" w:hAnsiTheme="majorHAnsi"/>
          <w:i/>
          <w:sz w:val="24"/>
          <w:szCs w:val="26"/>
        </w:rPr>
        <w:t>prze</w:t>
      </w:r>
      <w:r w:rsidR="00F96D75">
        <w:rPr>
          <w:rFonts w:asciiTheme="majorHAnsi" w:hAnsiTheme="majorHAnsi"/>
          <w:i/>
          <w:sz w:val="24"/>
          <w:szCs w:val="26"/>
        </w:rPr>
        <w:softHyphen/>
      </w:r>
      <w:r w:rsidRPr="00F96D75">
        <w:rPr>
          <w:rFonts w:asciiTheme="majorHAnsi" w:hAnsiTheme="majorHAnsi"/>
          <w:i/>
          <w:sz w:val="24"/>
          <w:szCs w:val="26"/>
        </w:rPr>
        <w:t>jęciem mówił o „bohaterskiej epopei Warszawy”, polska radiosta</w:t>
      </w:r>
      <w:r w:rsidR="0037135B" w:rsidRPr="00F96D75">
        <w:rPr>
          <w:rFonts w:asciiTheme="majorHAnsi" w:hAnsiTheme="majorHAnsi"/>
          <w:i/>
          <w:sz w:val="24"/>
          <w:szCs w:val="26"/>
        </w:rPr>
        <w:softHyphen/>
      </w:r>
      <w:r w:rsidRPr="00F96D75">
        <w:rPr>
          <w:rFonts w:asciiTheme="majorHAnsi" w:hAnsiTheme="majorHAnsi"/>
          <w:i/>
          <w:sz w:val="24"/>
          <w:szCs w:val="26"/>
        </w:rPr>
        <w:t>cja „Świt” z najwięk</w:t>
      </w:r>
      <w:r w:rsidR="00F96D75">
        <w:rPr>
          <w:rFonts w:asciiTheme="majorHAnsi" w:hAnsiTheme="majorHAnsi"/>
          <w:i/>
          <w:sz w:val="24"/>
          <w:szCs w:val="26"/>
        </w:rPr>
        <w:softHyphen/>
      </w:r>
      <w:r w:rsidRPr="00F96D75">
        <w:rPr>
          <w:rFonts w:asciiTheme="majorHAnsi" w:hAnsiTheme="majorHAnsi"/>
          <w:i/>
          <w:sz w:val="24"/>
          <w:szCs w:val="26"/>
        </w:rPr>
        <w:t>szą goryczą napiętnowała zdradę An</w:t>
      </w:r>
      <w:r w:rsidR="0037135B" w:rsidRPr="00F96D75">
        <w:rPr>
          <w:rFonts w:asciiTheme="majorHAnsi" w:hAnsiTheme="majorHAnsi"/>
          <w:i/>
          <w:sz w:val="24"/>
          <w:szCs w:val="26"/>
        </w:rPr>
        <w:t>glii, wołając: „Zostawcie w </w:t>
      </w:r>
      <w:r w:rsidRPr="00F96D75">
        <w:rPr>
          <w:rFonts w:asciiTheme="majorHAnsi" w:hAnsiTheme="majorHAnsi"/>
          <w:i/>
          <w:sz w:val="24"/>
          <w:szCs w:val="26"/>
        </w:rPr>
        <w:t>spokoju Warszawę, wy wszyscy, którzy podpisaliście na nią wyrok śmierci!”. Słowa te są najmocniejszą krytyką, jaką zawiedzeni nacjonaliści polscy mogli skierować pod adresem Anglii, która istotnie podpisała wyrok śmierci na War</w:t>
      </w:r>
      <w:r w:rsidR="0037135B" w:rsidRPr="00F96D75">
        <w:rPr>
          <w:rFonts w:asciiTheme="majorHAnsi" w:hAnsiTheme="majorHAnsi"/>
          <w:i/>
          <w:sz w:val="24"/>
          <w:szCs w:val="26"/>
        </w:rPr>
        <w:softHyphen/>
      </w:r>
      <w:r w:rsidRPr="00F96D75">
        <w:rPr>
          <w:rFonts w:asciiTheme="majorHAnsi" w:hAnsiTheme="majorHAnsi"/>
          <w:i/>
          <w:sz w:val="24"/>
          <w:szCs w:val="26"/>
        </w:rPr>
        <w:t>szawę, gdyż z wyjątkiem kilku zrzutów zaopatrzeniowych nie udzieliła żadnej praktycznej po</w:t>
      </w:r>
      <w:r w:rsidR="0037135B" w:rsidRPr="00F96D75">
        <w:rPr>
          <w:rFonts w:asciiTheme="majorHAnsi" w:hAnsiTheme="majorHAnsi"/>
          <w:i/>
          <w:sz w:val="24"/>
          <w:szCs w:val="26"/>
        </w:rPr>
        <w:softHyphen/>
      </w:r>
      <w:r w:rsidRPr="00F96D75">
        <w:rPr>
          <w:rFonts w:asciiTheme="majorHAnsi" w:hAnsiTheme="majorHAnsi"/>
          <w:i/>
          <w:sz w:val="24"/>
          <w:szCs w:val="26"/>
        </w:rPr>
        <w:t>mocy. Rozczarowanie Polaków zawodem, jaki im spra</w:t>
      </w:r>
      <w:r w:rsidR="00F96D75">
        <w:rPr>
          <w:rFonts w:asciiTheme="majorHAnsi" w:hAnsiTheme="majorHAnsi"/>
          <w:i/>
          <w:sz w:val="24"/>
          <w:szCs w:val="26"/>
        </w:rPr>
        <w:softHyphen/>
      </w:r>
      <w:r w:rsidRPr="00F96D75">
        <w:rPr>
          <w:rFonts w:asciiTheme="majorHAnsi" w:hAnsiTheme="majorHAnsi"/>
          <w:i/>
          <w:sz w:val="24"/>
          <w:szCs w:val="26"/>
        </w:rPr>
        <w:t xml:space="preserve">wiła Anglia, jest powszechne. </w:t>
      </w:r>
    </w:p>
    <w:p w:rsidR="005E13E0" w:rsidRPr="001D1B6D" w:rsidRDefault="005E13E0" w:rsidP="005E13E0">
      <w:pPr>
        <w:spacing w:after="120"/>
        <w:jc w:val="right"/>
        <w:rPr>
          <w:rFonts w:asciiTheme="majorHAnsi" w:hAnsiTheme="majorHAnsi"/>
          <w:i/>
          <w:sz w:val="20"/>
          <w:szCs w:val="26"/>
        </w:rPr>
      </w:pPr>
      <w:r w:rsidRPr="005E13E0">
        <w:rPr>
          <w:rFonts w:asciiTheme="majorHAnsi" w:hAnsiTheme="majorHAnsi"/>
          <w:i/>
          <w:sz w:val="20"/>
          <w:szCs w:val="26"/>
        </w:rPr>
        <w:t>Mocarstwa wobec powstania. Wybór dokumentów i materiałów</w:t>
      </w:r>
      <w:r w:rsidRPr="005E13E0">
        <w:rPr>
          <w:rFonts w:asciiTheme="majorHAnsi" w:hAnsiTheme="majorHAnsi"/>
          <w:sz w:val="20"/>
          <w:szCs w:val="26"/>
        </w:rPr>
        <w:t>, pod red. M.M. Drozdowskiego, Wydawnictwo</w:t>
      </w:r>
      <w:r w:rsidRPr="005E13E0">
        <w:rPr>
          <w:rFonts w:asciiTheme="majorHAnsi" w:hAnsiTheme="majorHAnsi"/>
          <w:sz w:val="20"/>
          <w:szCs w:val="26"/>
        </w:rPr>
        <w:t xml:space="preserve"> </w:t>
      </w:r>
      <w:r w:rsidRPr="005E13E0">
        <w:rPr>
          <w:rFonts w:asciiTheme="majorHAnsi" w:hAnsiTheme="majorHAnsi"/>
          <w:sz w:val="20"/>
          <w:szCs w:val="26"/>
        </w:rPr>
        <w:t>Bellona, Warszawa 1994, s. 245</w:t>
      </w:r>
      <w:r w:rsidRPr="005E13E0">
        <w:rPr>
          <w:rFonts w:asciiTheme="majorHAnsi" w:hAnsiTheme="majorHAnsi"/>
          <w:sz w:val="20"/>
          <w:szCs w:val="26"/>
        </w:rPr>
        <w:t>.</w:t>
      </w:r>
    </w:p>
    <w:p w:rsidR="001D1B6D" w:rsidRDefault="001D1B6D" w:rsidP="001D1B6D">
      <w:pPr>
        <w:spacing w:after="0" w:line="360" w:lineRule="auto"/>
        <w:jc w:val="both"/>
        <w:rPr>
          <w:rFonts w:asciiTheme="majorHAnsi" w:hAnsiTheme="majorHAnsi"/>
          <w:sz w:val="26"/>
          <w:szCs w:val="26"/>
        </w:rPr>
      </w:pPr>
    </w:p>
    <w:p w:rsidR="001D1B6D" w:rsidRPr="00F96D75" w:rsidRDefault="001D1B6D" w:rsidP="001D1B6D">
      <w:pPr>
        <w:spacing w:after="120"/>
        <w:jc w:val="both"/>
        <w:rPr>
          <w:rFonts w:asciiTheme="majorHAnsi" w:hAnsiTheme="majorHAnsi"/>
          <w:sz w:val="24"/>
          <w:szCs w:val="26"/>
        </w:rPr>
      </w:pPr>
      <w:r w:rsidRPr="00F96D75">
        <w:rPr>
          <w:rFonts w:asciiTheme="majorHAnsi" w:hAnsiTheme="majorHAnsi"/>
          <w:b/>
          <w:sz w:val="24"/>
          <w:szCs w:val="26"/>
        </w:rPr>
        <w:t>1.</w:t>
      </w:r>
      <w:r w:rsidRPr="00F96D75">
        <w:rPr>
          <w:rFonts w:asciiTheme="majorHAnsi" w:hAnsiTheme="majorHAnsi"/>
          <w:sz w:val="24"/>
          <w:szCs w:val="26"/>
        </w:rPr>
        <w:t xml:space="preserve"> </w:t>
      </w:r>
      <w:r w:rsidR="00D2235E" w:rsidRPr="00F96D75">
        <w:rPr>
          <w:rFonts w:asciiTheme="majorHAnsi" w:hAnsiTheme="majorHAnsi"/>
          <w:sz w:val="24"/>
          <w:szCs w:val="26"/>
        </w:rPr>
        <w:t>Wydarzenie, z którym związany jest raport, to</w:t>
      </w:r>
    </w:p>
    <w:p w:rsidR="001D1B6D" w:rsidRPr="00F96D75" w:rsidRDefault="001D1B6D" w:rsidP="001D1B6D">
      <w:pPr>
        <w:spacing w:after="120"/>
        <w:jc w:val="both"/>
        <w:rPr>
          <w:rFonts w:asciiTheme="majorHAnsi" w:hAnsiTheme="majorHAnsi"/>
          <w:sz w:val="24"/>
          <w:szCs w:val="26"/>
        </w:rPr>
      </w:pPr>
      <w:r w:rsidRPr="00F96D75">
        <w:rPr>
          <w:rFonts w:asciiTheme="majorHAnsi" w:hAnsiTheme="majorHAnsi"/>
          <w:sz w:val="24"/>
          <w:szCs w:val="26"/>
        </w:rPr>
        <w:t xml:space="preserve">a) </w:t>
      </w:r>
      <w:r w:rsidR="00D2235E" w:rsidRPr="00F96D75">
        <w:rPr>
          <w:rFonts w:asciiTheme="majorHAnsi" w:hAnsiTheme="majorHAnsi"/>
          <w:sz w:val="24"/>
          <w:szCs w:val="26"/>
        </w:rPr>
        <w:t>akcja „Burza”.</w:t>
      </w:r>
    </w:p>
    <w:p w:rsidR="001D1B6D" w:rsidRPr="00F96D75" w:rsidRDefault="001D1B6D" w:rsidP="001D1B6D">
      <w:pPr>
        <w:spacing w:after="120"/>
        <w:jc w:val="both"/>
        <w:rPr>
          <w:rFonts w:asciiTheme="majorHAnsi" w:hAnsiTheme="majorHAnsi"/>
          <w:sz w:val="24"/>
          <w:szCs w:val="26"/>
        </w:rPr>
      </w:pPr>
      <w:r w:rsidRPr="00F96D75">
        <w:rPr>
          <w:rFonts w:asciiTheme="majorHAnsi" w:hAnsiTheme="majorHAnsi"/>
          <w:sz w:val="24"/>
          <w:szCs w:val="26"/>
        </w:rPr>
        <w:t xml:space="preserve">b) </w:t>
      </w:r>
      <w:r w:rsidR="00D2235E" w:rsidRPr="00F96D75">
        <w:rPr>
          <w:rFonts w:asciiTheme="majorHAnsi" w:hAnsiTheme="majorHAnsi"/>
          <w:sz w:val="24"/>
          <w:szCs w:val="26"/>
        </w:rPr>
        <w:t>powstanie warszawskie.</w:t>
      </w:r>
    </w:p>
    <w:p w:rsidR="001D1B6D" w:rsidRPr="00F96D75" w:rsidRDefault="001D1B6D" w:rsidP="001D1B6D">
      <w:pPr>
        <w:spacing w:after="120"/>
        <w:jc w:val="both"/>
        <w:rPr>
          <w:rFonts w:asciiTheme="majorHAnsi" w:hAnsiTheme="majorHAnsi"/>
          <w:sz w:val="24"/>
          <w:szCs w:val="26"/>
        </w:rPr>
      </w:pPr>
      <w:r w:rsidRPr="00F96D75">
        <w:rPr>
          <w:rFonts w:asciiTheme="majorHAnsi" w:hAnsiTheme="majorHAnsi"/>
          <w:sz w:val="24"/>
          <w:szCs w:val="26"/>
        </w:rPr>
        <w:t xml:space="preserve">c) </w:t>
      </w:r>
      <w:r w:rsidR="00D2235E" w:rsidRPr="00F96D75">
        <w:rPr>
          <w:rFonts w:asciiTheme="majorHAnsi" w:hAnsiTheme="majorHAnsi"/>
          <w:sz w:val="24"/>
          <w:szCs w:val="26"/>
        </w:rPr>
        <w:t>zajęcie Warszawy przez Armię Czerwoną.</w:t>
      </w:r>
    </w:p>
    <w:p w:rsidR="001D1B6D" w:rsidRPr="00F96D75" w:rsidRDefault="001D1B6D" w:rsidP="001D1B6D">
      <w:pPr>
        <w:spacing w:after="120"/>
        <w:jc w:val="both"/>
        <w:rPr>
          <w:rFonts w:asciiTheme="majorHAnsi" w:hAnsiTheme="majorHAnsi"/>
          <w:sz w:val="24"/>
          <w:szCs w:val="26"/>
        </w:rPr>
      </w:pPr>
      <w:r w:rsidRPr="00F96D75">
        <w:rPr>
          <w:rFonts w:asciiTheme="majorHAnsi" w:hAnsiTheme="majorHAnsi"/>
          <w:sz w:val="24"/>
          <w:szCs w:val="26"/>
        </w:rPr>
        <w:t xml:space="preserve">d) </w:t>
      </w:r>
      <w:r w:rsidR="00D2235E" w:rsidRPr="00F96D75">
        <w:rPr>
          <w:rFonts w:asciiTheme="majorHAnsi" w:hAnsiTheme="majorHAnsi"/>
          <w:sz w:val="24"/>
          <w:szCs w:val="26"/>
        </w:rPr>
        <w:t>utworzenie PKWN.</w:t>
      </w:r>
    </w:p>
    <w:p w:rsidR="001D1B6D" w:rsidRPr="00F96D75" w:rsidRDefault="001D1B6D" w:rsidP="001D1B6D">
      <w:pPr>
        <w:spacing w:after="0" w:line="240" w:lineRule="auto"/>
        <w:jc w:val="both"/>
        <w:rPr>
          <w:rFonts w:asciiTheme="majorHAnsi" w:hAnsiTheme="majorHAnsi"/>
          <w:sz w:val="24"/>
          <w:szCs w:val="26"/>
        </w:rPr>
      </w:pPr>
    </w:p>
    <w:p w:rsidR="001D1B6D" w:rsidRPr="00F96D75" w:rsidRDefault="001D1B6D" w:rsidP="001D1B6D">
      <w:pPr>
        <w:spacing w:after="0" w:line="240" w:lineRule="auto"/>
        <w:jc w:val="both"/>
        <w:rPr>
          <w:rFonts w:asciiTheme="majorHAnsi" w:hAnsiTheme="majorHAnsi"/>
          <w:sz w:val="24"/>
          <w:szCs w:val="26"/>
        </w:rPr>
      </w:pPr>
    </w:p>
    <w:p w:rsidR="001D1B6D" w:rsidRPr="00F96D75" w:rsidRDefault="001D1B6D" w:rsidP="001D1B6D">
      <w:pPr>
        <w:spacing w:after="0" w:line="240" w:lineRule="auto"/>
        <w:jc w:val="both"/>
        <w:rPr>
          <w:rFonts w:asciiTheme="majorHAnsi" w:hAnsiTheme="majorHAnsi"/>
          <w:sz w:val="24"/>
          <w:szCs w:val="26"/>
        </w:rPr>
      </w:pPr>
    </w:p>
    <w:p w:rsidR="005E13E0" w:rsidRDefault="005E13E0">
      <w:pPr>
        <w:rPr>
          <w:rFonts w:asciiTheme="majorHAnsi" w:hAnsiTheme="majorHAnsi"/>
          <w:sz w:val="24"/>
          <w:szCs w:val="26"/>
        </w:rPr>
      </w:pPr>
      <w:r>
        <w:rPr>
          <w:rFonts w:asciiTheme="majorHAnsi" w:hAnsiTheme="majorHAnsi"/>
          <w:sz w:val="24"/>
          <w:szCs w:val="26"/>
        </w:rPr>
        <w:br w:type="page"/>
      </w:r>
    </w:p>
    <w:p w:rsidR="00457076" w:rsidRDefault="00457076">
      <w:pPr>
        <w:rPr>
          <w:rFonts w:asciiTheme="majorHAnsi" w:hAnsiTheme="majorHAnsi"/>
          <w:sz w:val="24"/>
          <w:szCs w:val="26"/>
        </w:rPr>
      </w:pPr>
      <w:bookmarkStart w:id="0" w:name="_GoBack"/>
      <w:bookmarkEnd w:id="0"/>
    </w:p>
    <w:p w:rsidR="00457076" w:rsidRDefault="00457076" w:rsidP="00457076">
      <w:pPr>
        <w:spacing w:before="240" w:after="360"/>
        <w:rPr>
          <w:rFonts w:ascii="Cambria" w:hAnsi="Cambria"/>
          <w:b/>
          <w:color w:val="C00000"/>
          <w:sz w:val="32"/>
          <w:szCs w:val="32"/>
        </w:rPr>
      </w:pPr>
      <w:r w:rsidRPr="00B939AF">
        <w:rPr>
          <w:rFonts w:ascii="Cambria" w:hAnsi="Cambria"/>
          <w:b/>
          <w:color w:val="C00000"/>
          <w:sz w:val="32"/>
          <w:szCs w:val="32"/>
        </w:rPr>
        <w:lastRenderedPageBreak/>
        <w:t>Klucz odpowiedzi</w:t>
      </w:r>
    </w:p>
    <w:tbl>
      <w:tblPr>
        <w:tblStyle w:val="Tabela-Siatka"/>
        <w:tblW w:w="0" w:type="auto"/>
        <w:tblLook w:val="04A0" w:firstRow="1" w:lastRow="0" w:firstColumn="1" w:lastColumn="0" w:noHBand="0" w:noVBand="1"/>
      </w:tblPr>
      <w:tblGrid>
        <w:gridCol w:w="1152"/>
        <w:gridCol w:w="1678"/>
      </w:tblGrid>
      <w:tr w:rsidR="00457076" w:rsidRPr="00B939AF" w:rsidTr="000F3D6A">
        <w:tc>
          <w:tcPr>
            <w:tcW w:w="1152" w:type="dxa"/>
            <w:vAlign w:val="center"/>
          </w:tcPr>
          <w:p w:rsidR="00457076" w:rsidRPr="00B939AF" w:rsidRDefault="00457076" w:rsidP="000F3D6A">
            <w:pPr>
              <w:spacing w:before="80"/>
              <w:jc w:val="center"/>
              <w:rPr>
                <w:rFonts w:ascii="Cambria" w:hAnsi="Cambria" w:cstheme="minorHAnsi"/>
                <w:b/>
                <w:sz w:val="26"/>
                <w:szCs w:val="26"/>
              </w:rPr>
            </w:pPr>
            <w:r w:rsidRPr="00B939AF">
              <w:rPr>
                <w:rFonts w:ascii="Cambria" w:hAnsi="Cambria" w:cstheme="minorHAnsi"/>
                <w:b/>
                <w:sz w:val="26"/>
                <w:szCs w:val="26"/>
              </w:rPr>
              <w:t>Nr zadania</w:t>
            </w:r>
          </w:p>
        </w:tc>
        <w:tc>
          <w:tcPr>
            <w:tcW w:w="1678" w:type="dxa"/>
            <w:vAlign w:val="center"/>
          </w:tcPr>
          <w:p w:rsidR="00457076" w:rsidRPr="00B939AF" w:rsidRDefault="00457076" w:rsidP="000F3D6A">
            <w:pPr>
              <w:spacing w:before="80"/>
              <w:jc w:val="center"/>
              <w:rPr>
                <w:rFonts w:ascii="Cambria" w:hAnsi="Cambria" w:cstheme="minorHAnsi"/>
                <w:b/>
                <w:sz w:val="26"/>
                <w:szCs w:val="26"/>
              </w:rPr>
            </w:pPr>
            <w:r w:rsidRPr="00B939AF">
              <w:rPr>
                <w:rFonts w:ascii="Cambria" w:hAnsi="Cambria" w:cstheme="minorHAnsi"/>
                <w:b/>
                <w:sz w:val="26"/>
                <w:szCs w:val="26"/>
              </w:rPr>
              <w:t>Odpowiedź</w:t>
            </w:r>
          </w:p>
        </w:tc>
      </w:tr>
      <w:tr w:rsidR="00457076" w:rsidTr="000F3D6A">
        <w:tc>
          <w:tcPr>
            <w:tcW w:w="1152" w:type="dxa"/>
          </w:tcPr>
          <w:p w:rsidR="00457076" w:rsidRDefault="00457076" w:rsidP="000F3D6A">
            <w:pPr>
              <w:spacing w:before="80" w:line="360" w:lineRule="auto"/>
              <w:jc w:val="center"/>
              <w:rPr>
                <w:rFonts w:ascii="Cambria" w:hAnsi="Cambria" w:cstheme="minorHAnsi"/>
                <w:sz w:val="26"/>
                <w:szCs w:val="26"/>
              </w:rPr>
            </w:pPr>
            <w:r w:rsidRPr="00112F01">
              <w:rPr>
                <w:rFonts w:ascii="Cambria" w:hAnsi="Cambria" w:cstheme="minorHAnsi"/>
                <w:sz w:val="26"/>
                <w:szCs w:val="26"/>
              </w:rPr>
              <w:t>1.</w:t>
            </w:r>
          </w:p>
        </w:tc>
        <w:tc>
          <w:tcPr>
            <w:tcW w:w="1678" w:type="dxa"/>
          </w:tcPr>
          <w:p w:rsidR="00457076" w:rsidRDefault="00457076" w:rsidP="000F3D6A">
            <w:pPr>
              <w:spacing w:before="80" w:line="360" w:lineRule="auto"/>
              <w:rPr>
                <w:rFonts w:ascii="Cambria" w:hAnsi="Cambria" w:cstheme="minorHAnsi"/>
                <w:sz w:val="26"/>
                <w:szCs w:val="26"/>
              </w:rPr>
            </w:pPr>
            <w:r>
              <w:rPr>
                <w:rFonts w:ascii="Cambria" w:hAnsi="Cambria" w:cstheme="minorHAnsi"/>
                <w:sz w:val="26"/>
                <w:szCs w:val="26"/>
              </w:rPr>
              <w:t>b</w:t>
            </w:r>
            <w:r w:rsidRPr="00112F01">
              <w:rPr>
                <w:rFonts w:ascii="Cambria" w:hAnsi="Cambria" w:cstheme="minorHAnsi"/>
                <w:sz w:val="26"/>
                <w:szCs w:val="26"/>
              </w:rPr>
              <w:t>)</w:t>
            </w:r>
          </w:p>
        </w:tc>
      </w:tr>
    </w:tbl>
    <w:p w:rsidR="001D1B6D" w:rsidRPr="00F96D75" w:rsidRDefault="001D1B6D" w:rsidP="00457076">
      <w:pPr>
        <w:spacing w:after="0" w:line="360" w:lineRule="auto"/>
        <w:jc w:val="both"/>
        <w:rPr>
          <w:rFonts w:asciiTheme="majorHAnsi" w:hAnsiTheme="majorHAnsi"/>
          <w:sz w:val="24"/>
          <w:szCs w:val="26"/>
        </w:rPr>
      </w:pPr>
    </w:p>
    <w:sectPr w:rsidR="001D1B6D" w:rsidRPr="00F96D75" w:rsidSect="00E14E3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76" w:rsidRDefault="00457076" w:rsidP="00457076">
      <w:pPr>
        <w:spacing w:after="0" w:line="240" w:lineRule="auto"/>
      </w:pPr>
      <w:r>
        <w:separator/>
      </w:r>
    </w:p>
  </w:endnote>
  <w:endnote w:type="continuationSeparator" w:id="0">
    <w:p w:rsidR="00457076" w:rsidRDefault="00457076" w:rsidP="0045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NaomiSansEFN-Italic">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429635"/>
      <w:docPartObj>
        <w:docPartGallery w:val="Page Numbers (Bottom of Page)"/>
        <w:docPartUnique/>
      </w:docPartObj>
    </w:sdtPr>
    <w:sdtEndPr/>
    <w:sdtContent>
      <w:p w:rsidR="00457076" w:rsidRDefault="00457076" w:rsidP="00457076">
        <w:pPr>
          <w:pStyle w:val="Stopka"/>
          <w:tabs>
            <w:tab w:val="left" w:pos="3976"/>
            <w:tab w:val="center" w:pos="4356"/>
          </w:tabs>
          <w:ind w:right="360"/>
        </w:pPr>
        <w:r>
          <w:tab/>
        </w:r>
        <w:r>
          <w:tab/>
        </w:r>
        <w:r>
          <w:rPr>
            <w:noProof/>
            <w:lang w:eastAsia="pl-PL"/>
          </w:rPr>
          <w:drawing>
            <wp:anchor distT="0" distB="0" distL="114300" distR="114300" simplePos="0" relativeHeight="251659264" behindDoc="0" locked="0" layoutInCell="1" allowOverlap="1" wp14:anchorId="16327640" wp14:editId="28EF28A7">
              <wp:simplePos x="0" y="0"/>
              <wp:positionH relativeFrom="column">
                <wp:posOffset>4495800</wp:posOffset>
              </wp:positionH>
              <wp:positionV relativeFrom="paragraph">
                <wp:posOffset>-43815</wp:posOffset>
              </wp:positionV>
              <wp:extent cx="901700" cy="389890"/>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gw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0" cy="389890"/>
                      </a:xfrm>
                      <a:prstGeom prst="rect">
                        <a:avLst/>
                      </a:prstGeom>
                    </pic:spPr>
                  </pic:pic>
                </a:graphicData>
              </a:graphic>
            </wp:anchor>
          </w:drawing>
        </w:r>
      </w:p>
      <w:p w:rsidR="00457076" w:rsidRPr="000A50B4" w:rsidRDefault="00457076" w:rsidP="00457076">
        <w:pPr>
          <w:pStyle w:val="Stopka"/>
          <w:ind w:right="360"/>
          <w:jc w:val="center"/>
          <w:rPr>
            <w:color w:val="7F7F7F" w:themeColor="text1" w:themeTint="80"/>
          </w:rPr>
        </w:pPr>
        <w:r w:rsidRPr="006633F5">
          <w:rPr>
            <w:color w:val="7F7F7F" w:themeColor="text1" w:themeTint="80"/>
            <w:sz w:val="16"/>
            <w:szCs w:val="16"/>
          </w:rPr>
          <w:t>Materiały do serii „Podróże w czasie” pobrane ze strony www.gwo.pl</w:t>
        </w:r>
        <w:r>
          <w:rPr>
            <w:color w:val="7F7F7F" w:themeColor="text1" w:themeTint="80"/>
          </w:rPr>
          <w:tab/>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76" w:rsidRDefault="00457076" w:rsidP="00457076">
      <w:pPr>
        <w:spacing w:after="0" w:line="240" w:lineRule="auto"/>
      </w:pPr>
      <w:r>
        <w:separator/>
      </w:r>
    </w:p>
  </w:footnote>
  <w:footnote w:type="continuationSeparator" w:id="0">
    <w:p w:rsidR="00457076" w:rsidRDefault="00457076" w:rsidP="00457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72B4"/>
    <w:rsid w:val="001D1B6D"/>
    <w:rsid w:val="002414E9"/>
    <w:rsid w:val="002B72B4"/>
    <w:rsid w:val="0037135B"/>
    <w:rsid w:val="0038708F"/>
    <w:rsid w:val="003D62DD"/>
    <w:rsid w:val="00457076"/>
    <w:rsid w:val="004D0AF1"/>
    <w:rsid w:val="00575D75"/>
    <w:rsid w:val="005909B7"/>
    <w:rsid w:val="005E13E0"/>
    <w:rsid w:val="0069364E"/>
    <w:rsid w:val="006B2583"/>
    <w:rsid w:val="007453A1"/>
    <w:rsid w:val="008671D0"/>
    <w:rsid w:val="00874281"/>
    <w:rsid w:val="00B90613"/>
    <w:rsid w:val="00BD6631"/>
    <w:rsid w:val="00CE0A71"/>
    <w:rsid w:val="00D2235E"/>
    <w:rsid w:val="00D5669F"/>
    <w:rsid w:val="00D966D2"/>
    <w:rsid w:val="00DF7875"/>
    <w:rsid w:val="00E14E35"/>
    <w:rsid w:val="00F96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3655B-3540-4B29-B93C-8B2F3D04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69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909B7"/>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5909B7"/>
    <w:rPr>
      <w:rFonts w:ascii="Tahoma" w:hAnsi="Tahoma" w:cs="Tahoma"/>
      <w:sz w:val="16"/>
      <w:szCs w:val="16"/>
    </w:rPr>
  </w:style>
  <w:style w:type="table" w:styleId="Tabela-Siatka">
    <w:name w:val="Table Grid"/>
    <w:basedOn w:val="Standardowy"/>
    <w:uiPriority w:val="39"/>
    <w:rsid w:val="00457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570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076"/>
    <w:rPr>
      <w:rFonts w:ascii="Calibri" w:eastAsia="Calibri" w:hAnsi="Calibri" w:cs="Times New Roman"/>
    </w:rPr>
  </w:style>
  <w:style w:type="paragraph" w:styleId="Stopka">
    <w:name w:val="footer"/>
    <w:basedOn w:val="Normalny"/>
    <w:link w:val="StopkaZnak"/>
    <w:uiPriority w:val="99"/>
    <w:unhideWhenUsed/>
    <w:rsid w:val="004570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0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173</Words>
  <Characters>1041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Aleksandra Grygo</cp:lastModifiedBy>
  <cp:revision>12</cp:revision>
  <dcterms:created xsi:type="dcterms:W3CDTF">2020-03-20T14:24:00Z</dcterms:created>
  <dcterms:modified xsi:type="dcterms:W3CDTF">2024-12-25T13:45:00Z</dcterms:modified>
</cp:coreProperties>
</file>