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97D" w:rsidRPr="00B939AF" w:rsidRDefault="001F397D" w:rsidP="001F397D">
      <w:pPr>
        <w:spacing w:line="276" w:lineRule="auto"/>
        <w:rPr>
          <w:rFonts w:ascii="Cambria" w:hAnsi="Cambria" w:cs="Times New Roman"/>
          <w:b/>
          <w:color w:val="C00000"/>
          <w:sz w:val="32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</w:p>
    <w:p w:rsidR="001F397D" w:rsidRDefault="001F397D" w:rsidP="001F397D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b/>
          <w:bCs/>
          <w:i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1F397D" w:rsidRPr="00112F01" w:rsidRDefault="001F397D" w:rsidP="001F397D">
      <w:pPr>
        <w:spacing w:line="276" w:lineRule="auto"/>
        <w:rPr>
          <w:rFonts w:ascii="Cambria" w:hAnsi="Cambria" w:cs="NaomiSansEFN-Italic"/>
          <w:b/>
          <w:bCs/>
          <w:iCs/>
          <w:sz w:val="26"/>
          <w:szCs w:val="26"/>
        </w:rPr>
      </w:pPr>
    </w:p>
    <w:p w:rsidR="001F397D" w:rsidRPr="00112F01" w:rsidRDefault="001F397D" w:rsidP="001F397D">
      <w:pPr>
        <w:spacing w:line="276" w:lineRule="auto"/>
        <w:rPr>
          <w:rFonts w:ascii="Cambria" w:hAnsi="Cambria" w:cs="NaomiSansEFN-Italic"/>
          <w:b/>
          <w:bCs/>
          <w:iCs/>
          <w:sz w:val="26"/>
          <w:szCs w:val="26"/>
        </w:rPr>
      </w:pPr>
      <w:r w:rsidRPr="001F397D">
        <w:rPr>
          <w:rFonts w:ascii="Cambria" w:hAnsi="Cambria" w:cs="NaomiSansEFN-Italic"/>
          <w:b/>
          <w:bCs/>
          <w:i/>
          <w:iCs/>
          <w:sz w:val="26"/>
          <w:szCs w:val="26"/>
        </w:rPr>
        <w:t>Raport francuskiego kuriera dyplomatycznego...</w:t>
      </w:r>
      <w:r w:rsidRPr="001F397D">
        <w:rPr>
          <w:rFonts w:ascii="Cambria" w:hAnsi="Cambria" w:cs="NaomiSansEFN-Italic"/>
          <w:b/>
          <w:bCs/>
          <w:iCs/>
          <w:sz w:val="26"/>
          <w:szCs w:val="26"/>
        </w:rPr>
        <w:t>, 1863 r.</w:t>
      </w:r>
    </w:p>
    <w:p w:rsidR="001F397D" w:rsidRPr="00112F01" w:rsidRDefault="001F397D" w:rsidP="001F397D">
      <w:pPr>
        <w:autoSpaceDE w:val="0"/>
        <w:autoSpaceDN w:val="0"/>
        <w:adjustRightInd w:val="0"/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  <w:r w:rsidRPr="00112F01">
        <w:rPr>
          <w:rFonts w:ascii="Cambria" w:hAnsi="Cambria" w:cs="NaomiSansEFN-Italic"/>
          <w:i/>
          <w:iCs/>
          <w:sz w:val="26"/>
          <w:szCs w:val="26"/>
        </w:rPr>
        <w:t>Rząd Narodowy regularnie funkcjonuje w Warszawie i cieszy się absolutnym posłuszeństwem. Wysyła kwity podatkowe i wszyscy skwapliwie płacą. [...] Zabrania noszenia cylindrów i żąda, by noszono żałobę, a przynajmniej czarne krawaty. Nikt nie nosi cylindra, natomiast każdy czarny krawat. [Rząd] posiada wydawnictwa stokroć bardziej rozpowszechniane niż wszystkie oficjalne pisma razem wzięte [...]. Podstawową gwarancją bezpieczeństwa [Rządu] jest fakt, że każdy czuwa nad nim, że uznawany jest przez wszystkich Polaków, jednym słowem, że posiada siłę moralną.</w:t>
      </w:r>
    </w:p>
    <w:p w:rsidR="009B51B2" w:rsidRPr="00B0030F" w:rsidRDefault="009B51B2" w:rsidP="009B51B2">
      <w:pPr>
        <w:spacing w:after="0" w:line="240" w:lineRule="auto"/>
        <w:jc w:val="right"/>
        <w:rPr>
          <w:rFonts w:ascii="Cambria" w:hAnsi="Cambria" w:cs="NaomiSansEFN-Italic"/>
          <w:i/>
          <w:iCs/>
          <w:szCs w:val="26"/>
        </w:rPr>
      </w:pPr>
      <w:r w:rsidRPr="009B51B2">
        <w:rPr>
          <w:rFonts w:ascii="Cambria" w:hAnsi="Cambria" w:cs="NaomiSansEFN-Italic"/>
          <w:iCs/>
          <w:szCs w:val="26"/>
        </w:rPr>
        <w:t>D. Ostapowicz, S. Suchodolski, D. Szymikowski,</w:t>
      </w:r>
      <w:r w:rsidRPr="009B51B2">
        <w:rPr>
          <w:rFonts w:ascii="Cambria" w:hAnsi="Cambria" w:cs="NaomiSansEFN-Italic"/>
          <w:i/>
          <w:iCs/>
          <w:szCs w:val="26"/>
        </w:rPr>
        <w:t xml:space="preserve"> Od Hammurab</w:t>
      </w:r>
      <w:r>
        <w:rPr>
          <w:rFonts w:ascii="Cambria" w:hAnsi="Cambria" w:cs="NaomiSansEFN-Italic"/>
          <w:i/>
          <w:iCs/>
          <w:szCs w:val="26"/>
        </w:rPr>
        <w:t>iego do Fukuyamy. Nowa matura z </w:t>
      </w:r>
      <w:r w:rsidRPr="009B51B2">
        <w:rPr>
          <w:rFonts w:ascii="Cambria" w:hAnsi="Cambria" w:cs="NaomiSansEFN-Italic"/>
          <w:i/>
          <w:iCs/>
          <w:szCs w:val="26"/>
        </w:rPr>
        <w:t>historii. Przekazy źródłowe z ćwiczeniami.</w:t>
      </w:r>
      <w:r>
        <w:rPr>
          <w:rFonts w:ascii="Cambria" w:hAnsi="Cambria" w:cs="NaomiSansEFN-Italic"/>
          <w:i/>
          <w:iCs/>
          <w:szCs w:val="26"/>
        </w:rPr>
        <w:t xml:space="preserve"> </w:t>
      </w:r>
      <w:r w:rsidRPr="009B51B2">
        <w:rPr>
          <w:rFonts w:ascii="Cambria" w:hAnsi="Cambria" w:cs="NaomiSansEFN-Italic"/>
          <w:iCs/>
          <w:szCs w:val="26"/>
        </w:rPr>
        <w:t>Tom II:</w:t>
      </w:r>
      <w:r w:rsidRPr="009B51B2">
        <w:rPr>
          <w:rFonts w:ascii="Cambria" w:hAnsi="Cambria" w:cs="NaomiSansEFN-Italic"/>
          <w:i/>
          <w:iCs/>
          <w:szCs w:val="26"/>
        </w:rPr>
        <w:t xml:space="preserve"> Od 1789 roku do współczesności</w:t>
      </w:r>
      <w:r>
        <w:rPr>
          <w:rFonts w:ascii="Cambria" w:hAnsi="Cambria" w:cs="NaomiSansEFN-Italic"/>
          <w:iCs/>
          <w:szCs w:val="26"/>
        </w:rPr>
        <w:t>, Gdańskie </w:t>
      </w:r>
      <w:r w:rsidRPr="009B51B2">
        <w:rPr>
          <w:rFonts w:ascii="Cambria" w:hAnsi="Cambria" w:cs="NaomiSansEFN-Italic"/>
          <w:iCs/>
          <w:szCs w:val="26"/>
        </w:rPr>
        <w:t xml:space="preserve">Wydawnictwo Oświatowe, Gdańsk 2002, s. </w:t>
      </w:r>
      <w:r w:rsidR="00257F15">
        <w:rPr>
          <w:rFonts w:ascii="Cambria" w:hAnsi="Cambria" w:cs="NaomiSansEFN-Italic"/>
          <w:iCs/>
          <w:szCs w:val="26"/>
        </w:rPr>
        <w:t>190‒191</w:t>
      </w:r>
      <w:bookmarkStart w:id="0" w:name="_GoBack"/>
      <w:bookmarkEnd w:id="0"/>
      <w:r w:rsidRPr="009B51B2">
        <w:rPr>
          <w:rFonts w:ascii="Cambria" w:hAnsi="Cambria" w:cs="NaomiSansEFN-Italic"/>
          <w:iCs/>
          <w:szCs w:val="26"/>
        </w:rPr>
        <w:t>.</w:t>
      </w:r>
    </w:p>
    <w:p w:rsidR="001F397D" w:rsidRPr="00112F01" w:rsidRDefault="001F397D" w:rsidP="001F397D">
      <w:pPr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</w:p>
    <w:p w:rsidR="001F397D" w:rsidRPr="00112F01" w:rsidRDefault="001F397D" w:rsidP="001F397D">
      <w:pPr>
        <w:spacing w:line="276" w:lineRule="auto"/>
        <w:rPr>
          <w:rFonts w:ascii="Cambria" w:hAnsi="Cambria" w:cs="NaomiSansEFN-Italic"/>
          <w:i/>
          <w:iCs/>
          <w:sz w:val="26"/>
          <w:szCs w:val="26"/>
        </w:rPr>
      </w:pPr>
    </w:p>
    <w:p w:rsidR="001F397D" w:rsidRPr="00112F01" w:rsidRDefault="001F397D" w:rsidP="001F397D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3906DE">
        <w:rPr>
          <w:rFonts w:ascii="Cambria" w:hAnsi="Cambria" w:cstheme="minorHAnsi"/>
          <w:b/>
          <w:sz w:val="26"/>
          <w:szCs w:val="26"/>
        </w:rPr>
        <w:t>1.</w:t>
      </w:r>
      <w:r w:rsidRPr="00112F01">
        <w:rPr>
          <w:rFonts w:ascii="Cambria" w:hAnsi="Cambria" w:cstheme="minorHAnsi"/>
          <w:sz w:val="26"/>
          <w:szCs w:val="26"/>
        </w:rPr>
        <w:t xml:space="preserve"> W tekście została opisana sytuacja panującą w </w:t>
      </w:r>
    </w:p>
    <w:p w:rsidR="001F397D" w:rsidRPr="00112F01" w:rsidRDefault="001F397D" w:rsidP="001F397D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zaborze rosyjskim podczas powstania listopadowego.</w:t>
      </w:r>
    </w:p>
    <w:p w:rsidR="001F397D" w:rsidRPr="00112F01" w:rsidRDefault="001F397D" w:rsidP="001F397D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zaborze pruskim podczas Wiosny Ludów.</w:t>
      </w:r>
    </w:p>
    <w:p w:rsidR="001F397D" w:rsidRPr="00112F01" w:rsidRDefault="001F397D" w:rsidP="001F397D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zaborze austriackim podczas powstania styczniowego.</w:t>
      </w:r>
    </w:p>
    <w:p w:rsidR="001F397D" w:rsidRPr="00112F01" w:rsidRDefault="001F397D" w:rsidP="001F397D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zaborze rosyjskim podczas powstania styczniowego.</w:t>
      </w:r>
    </w:p>
    <w:p w:rsidR="001F397D" w:rsidRPr="00112F01" w:rsidRDefault="001F397D" w:rsidP="001F397D">
      <w:pPr>
        <w:spacing w:before="240" w:after="0" w:line="276" w:lineRule="auto"/>
        <w:rPr>
          <w:rFonts w:ascii="Cambria" w:hAnsi="Cambria" w:cstheme="minorHAnsi"/>
          <w:sz w:val="26"/>
          <w:szCs w:val="26"/>
        </w:rPr>
      </w:pPr>
      <w:r w:rsidRPr="003906DE">
        <w:rPr>
          <w:rFonts w:ascii="Cambria" w:hAnsi="Cambria" w:cstheme="minorHAnsi"/>
          <w:b/>
          <w:sz w:val="26"/>
          <w:szCs w:val="26"/>
        </w:rPr>
        <w:t>2.</w:t>
      </w:r>
      <w:r w:rsidRPr="00112F01">
        <w:rPr>
          <w:rFonts w:ascii="Cambria" w:hAnsi="Cambria" w:cstheme="minorHAnsi"/>
          <w:sz w:val="26"/>
          <w:szCs w:val="26"/>
        </w:rPr>
        <w:t xml:space="preserve"> Stosunek Polaków do Rządu Narodowego wskazuje na to, że Polacy</w:t>
      </w:r>
    </w:p>
    <w:p w:rsidR="001F397D" w:rsidRPr="00112F01" w:rsidRDefault="001F397D" w:rsidP="001F397D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a) akceptowali wydarzenia, jakie rozgrywały się w tym czasie na ziemiach polskich.</w:t>
      </w:r>
    </w:p>
    <w:p w:rsidR="001F397D" w:rsidRPr="00112F01" w:rsidRDefault="001F397D" w:rsidP="001F397D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b) nie akceptowali tych wydarzeń, ale byli zmuszeni do posłuszeństwa.</w:t>
      </w:r>
    </w:p>
    <w:p w:rsidR="001F397D" w:rsidRPr="00112F01" w:rsidRDefault="001F397D" w:rsidP="001F397D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c) sprzeciwiali się wydarzeniom, jakie rozgrywały się na ziemiach polskich.</w:t>
      </w:r>
    </w:p>
    <w:p w:rsidR="001F397D" w:rsidRPr="00112F01" w:rsidRDefault="001F397D" w:rsidP="001F397D">
      <w:pPr>
        <w:spacing w:after="0" w:line="276" w:lineRule="auto"/>
        <w:rPr>
          <w:rFonts w:ascii="Cambria" w:hAnsi="Cambria" w:cstheme="minorHAnsi"/>
          <w:sz w:val="26"/>
          <w:szCs w:val="26"/>
        </w:rPr>
      </w:pPr>
      <w:r w:rsidRPr="00112F01">
        <w:rPr>
          <w:rFonts w:ascii="Cambria" w:hAnsi="Cambria" w:cstheme="minorHAnsi"/>
          <w:sz w:val="26"/>
          <w:szCs w:val="26"/>
        </w:rPr>
        <w:t>d) dążyli do obalenia tego ośrodka władzy.</w:t>
      </w:r>
    </w:p>
    <w:p w:rsidR="001F397D" w:rsidRPr="00112F01" w:rsidRDefault="001F397D" w:rsidP="001F397D">
      <w:pPr>
        <w:spacing w:line="276" w:lineRule="auto"/>
        <w:rPr>
          <w:rFonts w:ascii="Cambria" w:hAnsi="Cambria" w:cs="NaomiSansEFN-Italic"/>
          <w:iCs/>
          <w:sz w:val="26"/>
          <w:szCs w:val="26"/>
        </w:rPr>
      </w:pPr>
    </w:p>
    <w:p w:rsidR="001F397D" w:rsidRDefault="001F397D">
      <w:pPr>
        <w:spacing w:after="160" w:line="259" w:lineRule="auto"/>
        <w:jc w:val="left"/>
        <w:rPr>
          <w:rFonts w:ascii="Cambria" w:hAnsi="Cambria" w:cstheme="minorHAnsi"/>
          <w:sz w:val="26"/>
          <w:szCs w:val="26"/>
        </w:rPr>
      </w:pPr>
      <w:r>
        <w:rPr>
          <w:rFonts w:ascii="Cambria" w:hAnsi="Cambria" w:cstheme="minorHAnsi"/>
          <w:sz w:val="26"/>
          <w:szCs w:val="26"/>
        </w:rPr>
        <w:br w:type="page"/>
      </w:r>
    </w:p>
    <w:p w:rsidR="001F397D" w:rsidRDefault="001F397D" w:rsidP="001F397D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lastRenderedPageBreak/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1F397D" w:rsidRPr="00B939AF" w:rsidTr="00022AB7">
        <w:tc>
          <w:tcPr>
            <w:tcW w:w="1152" w:type="dxa"/>
            <w:vAlign w:val="center"/>
          </w:tcPr>
          <w:p w:rsidR="001F397D" w:rsidRPr="00B939AF" w:rsidRDefault="001F397D" w:rsidP="00022AB7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1F397D" w:rsidRPr="00B939AF" w:rsidRDefault="001F397D" w:rsidP="00022AB7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1F397D" w:rsidTr="00022AB7">
        <w:tc>
          <w:tcPr>
            <w:tcW w:w="1152" w:type="dxa"/>
          </w:tcPr>
          <w:p w:rsidR="001F397D" w:rsidRDefault="001F397D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1F397D" w:rsidRDefault="001F397D" w:rsidP="00022AB7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d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1F397D" w:rsidRPr="00B41482" w:rsidTr="00022AB7">
        <w:tc>
          <w:tcPr>
            <w:tcW w:w="1152" w:type="dxa"/>
          </w:tcPr>
          <w:p w:rsidR="001F397D" w:rsidRDefault="001F397D" w:rsidP="00022AB7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1F397D" w:rsidRDefault="001F397D" w:rsidP="00022AB7">
            <w:pPr>
              <w:spacing w:before="80" w:line="360" w:lineRule="auto"/>
              <w:jc w:val="left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a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1F397D" w:rsidRDefault="001F397D" w:rsidP="001F397D">
      <w:pPr>
        <w:rPr>
          <w:rFonts w:ascii="Cambria" w:hAnsi="Cambria" w:cstheme="minorHAnsi"/>
          <w:strike/>
          <w:sz w:val="26"/>
          <w:szCs w:val="26"/>
          <w:highlight w:val="cyan"/>
        </w:rPr>
      </w:pPr>
    </w:p>
    <w:p w:rsidR="00FA6719" w:rsidRDefault="00FA6719"/>
    <w:sectPr w:rsidR="00FA671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97D" w:rsidRDefault="001F397D" w:rsidP="001F397D">
      <w:pPr>
        <w:spacing w:after="0" w:line="240" w:lineRule="auto"/>
      </w:pPr>
      <w:r>
        <w:separator/>
      </w:r>
    </w:p>
  </w:endnote>
  <w:endnote w:type="continuationSeparator" w:id="0">
    <w:p w:rsidR="001F397D" w:rsidRDefault="001F397D" w:rsidP="001F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EndPr/>
    <w:sdtContent>
      <w:p w:rsidR="001F397D" w:rsidRDefault="001F397D" w:rsidP="001F397D">
        <w:pPr>
          <w:pStyle w:val="Stopka"/>
          <w:tabs>
            <w:tab w:val="left" w:pos="3976"/>
            <w:tab w:val="center" w:pos="4356"/>
          </w:tabs>
          <w:ind w:right="360"/>
          <w:jc w:val="left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5DF04676" wp14:editId="65CC0C0F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1F397D" w:rsidRPr="000A50B4" w:rsidRDefault="001F397D" w:rsidP="001F397D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97D" w:rsidRDefault="001F397D" w:rsidP="001F397D">
      <w:pPr>
        <w:spacing w:after="0" w:line="240" w:lineRule="auto"/>
      </w:pPr>
      <w:r>
        <w:separator/>
      </w:r>
    </w:p>
  </w:footnote>
  <w:footnote w:type="continuationSeparator" w:id="0">
    <w:p w:rsidR="001F397D" w:rsidRDefault="001F397D" w:rsidP="001F3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7D"/>
    <w:rsid w:val="001F397D"/>
    <w:rsid w:val="00257F15"/>
    <w:rsid w:val="007650E1"/>
    <w:rsid w:val="009B51B2"/>
    <w:rsid w:val="00C12D05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55B6B-03F8-404C-B645-A1F28E89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97D"/>
    <w:pPr>
      <w:spacing w:after="80" w:line="24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3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97D"/>
  </w:style>
  <w:style w:type="paragraph" w:styleId="Stopka">
    <w:name w:val="footer"/>
    <w:basedOn w:val="Normalny"/>
    <w:link w:val="StopkaZnak"/>
    <w:uiPriority w:val="99"/>
    <w:unhideWhenUsed/>
    <w:rsid w:val="001F3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97D"/>
  </w:style>
  <w:style w:type="table" w:styleId="Tabela-Siatka">
    <w:name w:val="Table Grid"/>
    <w:basedOn w:val="Standardowy"/>
    <w:uiPriority w:val="39"/>
    <w:rsid w:val="001F3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3</cp:revision>
  <dcterms:created xsi:type="dcterms:W3CDTF">2024-12-19T13:36:00Z</dcterms:created>
  <dcterms:modified xsi:type="dcterms:W3CDTF">2024-12-19T14:04:00Z</dcterms:modified>
</cp:coreProperties>
</file>