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6D" w:rsidRPr="00B939AF" w:rsidRDefault="00664B6D" w:rsidP="00664B6D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E364B0" w:rsidRDefault="00E364B0" w:rsidP="00E364B0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E364B0" w:rsidRPr="00112F01" w:rsidRDefault="00E364B0" w:rsidP="00E364B0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E364B0" w:rsidRPr="00112F01" w:rsidRDefault="00664B6D" w:rsidP="00E364B0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664B6D">
        <w:rPr>
          <w:rFonts w:ascii="Cambria" w:hAnsi="Cambria"/>
          <w:b/>
          <w:bCs/>
          <w:i/>
          <w:iCs/>
          <w:sz w:val="26"/>
          <w:szCs w:val="26"/>
        </w:rPr>
        <w:t>Dekret o najwyższej władzy reprezentacyjnej Republiki Polskiej</w:t>
      </w:r>
      <w:r w:rsidRPr="00664B6D">
        <w:rPr>
          <w:rFonts w:ascii="Cambria" w:hAnsi="Cambria"/>
          <w:b/>
          <w:bCs/>
          <w:iCs/>
          <w:sz w:val="26"/>
          <w:szCs w:val="26"/>
        </w:rPr>
        <w:t>, 22 XI 1918 r.</w:t>
      </w:r>
    </w:p>
    <w:p w:rsidR="00E364B0" w:rsidRPr="00112F01" w:rsidRDefault="00E364B0" w:rsidP="00E364B0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1. Obejmuję, jako Tymczasowy Naczelnik Państwa, Najwyższą Władzę Republiki Polskiej i będę ją sprawował aż do czasu zwołania Sejmu Ustawodawczego.</w:t>
      </w:r>
    </w:p>
    <w:p w:rsidR="00E364B0" w:rsidRPr="00112F01" w:rsidRDefault="00E364B0" w:rsidP="00E364B0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2. Rząd Republiki Polskiej stanowią mianowani przeze mnie i odpowiedzialni przede mną, aż do zebrania się Sejmu, Prezydent Ministrów* i Ministrowie.</w:t>
      </w:r>
    </w:p>
    <w:p w:rsidR="00664B6D" w:rsidRDefault="00664B6D" w:rsidP="00664B6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szCs w:val="26"/>
        </w:rPr>
      </w:pPr>
      <w:r w:rsidRPr="00664B6D">
        <w:rPr>
          <w:rFonts w:ascii="Cambria" w:hAnsi="Cambria"/>
          <w:i/>
          <w:szCs w:val="26"/>
        </w:rPr>
        <w:t>Wiek XX w źródłach. Wybór tekstów źródłowych z propozycjami metodycznymi dla nauczycieli historii, studentów i uczniów</w:t>
      </w:r>
      <w:r w:rsidRPr="00664B6D">
        <w:rPr>
          <w:rFonts w:ascii="Cambria" w:hAnsi="Cambria"/>
          <w:szCs w:val="26"/>
        </w:rPr>
        <w:t>,</w:t>
      </w:r>
      <w:r>
        <w:rPr>
          <w:rFonts w:ascii="Cambria" w:hAnsi="Cambria"/>
          <w:szCs w:val="26"/>
        </w:rPr>
        <w:t xml:space="preserve"> </w:t>
      </w:r>
      <w:r w:rsidRPr="00664B6D">
        <w:rPr>
          <w:rFonts w:ascii="Cambria" w:hAnsi="Cambria"/>
          <w:szCs w:val="26"/>
        </w:rPr>
        <w:t>oprac. M. Sobańska-</w:t>
      </w:r>
      <w:proofErr w:type="spellStart"/>
      <w:r w:rsidRPr="00664B6D">
        <w:rPr>
          <w:rFonts w:ascii="Cambria" w:hAnsi="Cambria"/>
          <w:szCs w:val="26"/>
        </w:rPr>
        <w:t>Bondaruk</w:t>
      </w:r>
      <w:proofErr w:type="spellEnd"/>
      <w:r w:rsidRPr="00664B6D">
        <w:rPr>
          <w:rFonts w:ascii="Cambria" w:hAnsi="Cambria"/>
          <w:szCs w:val="26"/>
        </w:rPr>
        <w:t xml:space="preserve">, S.B. </w:t>
      </w:r>
      <w:proofErr w:type="spellStart"/>
      <w:r w:rsidRPr="00664B6D">
        <w:rPr>
          <w:rFonts w:ascii="Cambria" w:hAnsi="Cambria"/>
          <w:szCs w:val="26"/>
        </w:rPr>
        <w:t>Lenard</w:t>
      </w:r>
      <w:proofErr w:type="spellEnd"/>
      <w:r w:rsidRPr="00664B6D">
        <w:rPr>
          <w:rFonts w:ascii="Cambria" w:hAnsi="Cambria"/>
          <w:szCs w:val="26"/>
        </w:rPr>
        <w:t xml:space="preserve">, </w:t>
      </w:r>
    </w:p>
    <w:p w:rsidR="00664B6D" w:rsidRPr="008C57DD" w:rsidRDefault="00664B6D" w:rsidP="00664B6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szCs w:val="26"/>
        </w:rPr>
      </w:pPr>
      <w:r w:rsidRPr="00664B6D">
        <w:rPr>
          <w:rFonts w:ascii="Cambria" w:hAnsi="Cambria"/>
          <w:szCs w:val="26"/>
        </w:rPr>
        <w:t>Wydawnictwo Naukowe PWN, Warszawa 1998, s. 134</w:t>
      </w:r>
      <w:r>
        <w:rPr>
          <w:rFonts w:ascii="Cambria" w:hAnsi="Cambria"/>
          <w:szCs w:val="26"/>
        </w:rPr>
        <w:t>.</w:t>
      </w:r>
    </w:p>
    <w:p w:rsidR="00E364B0" w:rsidRDefault="00E364B0" w:rsidP="00E364B0">
      <w:pPr>
        <w:spacing w:line="276" w:lineRule="auto"/>
        <w:rPr>
          <w:rFonts w:ascii="Cambria" w:hAnsi="Cambria"/>
          <w:sz w:val="26"/>
          <w:szCs w:val="26"/>
        </w:rPr>
      </w:pPr>
    </w:p>
    <w:p w:rsidR="00E364B0" w:rsidRDefault="00E364B0" w:rsidP="00E364B0">
      <w:pPr>
        <w:spacing w:line="276" w:lineRule="auto"/>
        <w:rPr>
          <w:rFonts w:ascii="Cambria" w:hAnsi="Cambria"/>
          <w:szCs w:val="26"/>
        </w:rPr>
      </w:pPr>
      <w:r w:rsidRPr="00D636C1">
        <w:rPr>
          <w:rFonts w:ascii="Cambria" w:hAnsi="Cambria"/>
          <w:b/>
          <w:szCs w:val="26"/>
        </w:rPr>
        <w:t>Prezydent Ministrów</w:t>
      </w:r>
      <w:r w:rsidRPr="00D636C1">
        <w:rPr>
          <w:rFonts w:ascii="Cambria" w:hAnsi="Cambria"/>
          <w:szCs w:val="26"/>
        </w:rPr>
        <w:t xml:space="preserve"> – premier, tj. szef rządu</w:t>
      </w:r>
    </w:p>
    <w:p w:rsidR="00E364B0" w:rsidRPr="00D636C1" w:rsidRDefault="00E364B0" w:rsidP="00E364B0">
      <w:pPr>
        <w:spacing w:line="276" w:lineRule="auto"/>
        <w:rPr>
          <w:rFonts w:ascii="Cambria" w:hAnsi="Cambria"/>
          <w:szCs w:val="26"/>
        </w:rPr>
      </w:pPr>
    </w:p>
    <w:p w:rsidR="00E364B0" w:rsidRPr="00112F01" w:rsidRDefault="00E364B0" w:rsidP="00E364B0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361844">
        <w:rPr>
          <w:rFonts w:ascii="Cambria" w:hAnsi="Cambria" w:cstheme="minorHAnsi"/>
          <w:b/>
          <w:sz w:val="26"/>
          <w:szCs w:val="26"/>
        </w:rPr>
        <w:t>1.</w:t>
      </w:r>
      <w:r w:rsidRPr="00112F01">
        <w:rPr>
          <w:rFonts w:ascii="Cambria" w:hAnsi="Cambria" w:cstheme="minorHAnsi"/>
          <w:sz w:val="26"/>
          <w:szCs w:val="26"/>
        </w:rPr>
        <w:t xml:space="preserve"> Postać, która wydała zacytowany dekret, to</w:t>
      </w:r>
    </w:p>
    <w:p w:rsidR="00E364B0" w:rsidRPr="00112F01" w:rsidRDefault="00E364B0" w:rsidP="00E364B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Roman Dmowski.</w:t>
      </w:r>
    </w:p>
    <w:p w:rsidR="00E364B0" w:rsidRPr="00112F01" w:rsidRDefault="00E364B0" w:rsidP="00E364B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Jędrzej Moraczewski.</w:t>
      </w:r>
    </w:p>
    <w:p w:rsidR="00E364B0" w:rsidRPr="00112F01" w:rsidRDefault="00E364B0" w:rsidP="00E364B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Ignacy Daszyński.</w:t>
      </w:r>
    </w:p>
    <w:p w:rsidR="00E364B0" w:rsidRPr="00112F01" w:rsidRDefault="00E364B0" w:rsidP="00E364B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Józef Piłsudski.</w:t>
      </w:r>
    </w:p>
    <w:p w:rsidR="00E364B0" w:rsidRPr="00112F01" w:rsidRDefault="00E364B0" w:rsidP="00E364B0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361844">
        <w:rPr>
          <w:rFonts w:ascii="Cambria" w:hAnsi="Cambria" w:cstheme="minorHAnsi"/>
          <w:b/>
          <w:sz w:val="26"/>
          <w:szCs w:val="26"/>
        </w:rPr>
        <w:t>2.</w:t>
      </w:r>
      <w:r w:rsidRPr="00112F01">
        <w:rPr>
          <w:rFonts w:ascii="Cambria" w:hAnsi="Cambria" w:cstheme="minorHAnsi"/>
          <w:sz w:val="26"/>
          <w:szCs w:val="26"/>
        </w:rPr>
        <w:t xml:space="preserve"> </w:t>
      </w:r>
      <w:r>
        <w:rPr>
          <w:rFonts w:ascii="Cambria" w:hAnsi="Cambria" w:cstheme="minorHAnsi"/>
          <w:sz w:val="26"/>
          <w:szCs w:val="26"/>
        </w:rPr>
        <w:t>Artykuł</w:t>
      </w:r>
      <w:r w:rsidRPr="00112F01">
        <w:rPr>
          <w:rFonts w:ascii="Cambria" w:hAnsi="Cambria" w:cstheme="minorHAnsi"/>
          <w:sz w:val="26"/>
          <w:szCs w:val="26"/>
        </w:rPr>
        <w:t xml:space="preserve"> 2</w:t>
      </w:r>
      <w:r>
        <w:rPr>
          <w:rFonts w:ascii="Cambria" w:hAnsi="Cambria" w:cstheme="minorHAnsi"/>
          <w:sz w:val="26"/>
          <w:szCs w:val="26"/>
        </w:rPr>
        <w:t>.</w:t>
      </w:r>
      <w:r w:rsidRPr="00112F01">
        <w:rPr>
          <w:rFonts w:ascii="Cambria" w:hAnsi="Cambria" w:cstheme="minorHAnsi"/>
          <w:sz w:val="26"/>
          <w:szCs w:val="26"/>
        </w:rPr>
        <w:t xml:space="preserve"> dekretu mówi o</w:t>
      </w:r>
    </w:p>
    <w:p w:rsidR="00E364B0" w:rsidRPr="00112F01" w:rsidRDefault="00E364B0" w:rsidP="00E364B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a) powołaniu </w:t>
      </w:r>
      <w:r>
        <w:rPr>
          <w:rFonts w:ascii="Cambria" w:hAnsi="Cambria" w:cstheme="minorHAnsi"/>
          <w:sz w:val="26"/>
          <w:szCs w:val="26"/>
        </w:rPr>
        <w:t>s</w:t>
      </w:r>
      <w:r w:rsidRPr="00112F01">
        <w:rPr>
          <w:rFonts w:ascii="Cambria" w:hAnsi="Cambria" w:cstheme="minorHAnsi"/>
          <w:sz w:val="26"/>
          <w:szCs w:val="26"/>
        </w:rPr>
        <w:t>ejmu.</w:t>
      </w:r>
    </w:p>
    <w:p w:rsidR="00E364B0" w:rsidRPr="00112F01" w:rsidRDefault="00E364B0" w:rsidP="00E364B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utworzeniu Republiki Polskiej.</w:t>
      </w:r>
    </w:p>
    <w:p w:rsidR="00E364B0" w:rsidRPr="00112F01" w:rsidRDefault="00E364B0" w:rsidP="00E364B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c) mianowaniu członków </w:t>
      </w:r>
      <w:r>
        <w:rPr>
          <w:rFonts w:ascii="Cambria" w:hAnsi="Cambria" w:cstheme="minorHAnsi"/>
          <w:sz w:val="26"/>
          <w:szCs w:val="26"/>
        </w:rPr>
        <w:t>s</w:t>
      </w:r>
      <w:r w:rsidRPr="00112F01">
        <w:rPr>
          <w:rFonts w:ascii="Cambria" w:hAnsi="Cambria" w:cstheme="minorHAnsi"/>
          <w:sz w:val="26"/>
          <w:szCs w:val="26"/>
        </w:rPr>
        <w:t>ejmu.</w:t>
      </w:r>
    </w:p>
    <w:p w:rsidR="00E364B0" w:rsidRPr="00112F01" w:rsidRDefault="00E364B0" w:rsidP="00E364B0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ustanowieniu rządu przez Tymczasowego Naczelnika Państwa.</w:t>
      </w:r>
    </w:p>
    <w:p w:rsidR="00E364B0" w:rsidRDefault="00E364B0" w:rsidP="00E364B0">
      <w:pPr>
        <w:spacing w:after="0" w:line="276" w:lineRule="auto"/>
        <w:rPr>
          <w:rFonts w:ascii="Cambria" w:hAnsi="Cambria"/>
          <w:b/>
          <w:iCs/>
          <w:sz w:val="26"/>
          <w:szCs w:val="26"/>
        </w:rPr>
      </w:pPr>
    </w:p>
    <w:p w:rsidR="00E364B0" w:rsidRDefault="00E364B0" w:rsidP="00E364B0">
      <w:pPr>
        <w:spacing w:after="0" w:line="276" w:lineRule="auto"/>
        <w:rPr>
          <w:rFonts w:ascii="Cambria" w:hAnsi="Cambria"/>
          <w:b/>
          <w:iCs/>
          <w:sz w:val="26"/>
          <w:szCs w:val="26"/>
        </w:rPr>
      </w:pPr>
    </w:p>
    <w:p w:rsidR="00E364B0" w:rsidRDefault="00E364B0" w:rsidP="00E364B0">
      <w:pPr>
        <w:spacing w:after="0" w:line="276" w:lineRule="auto"/>
        <w:rPr>
          <w:rFonts w:ascii="Cambria" w:hAnsi="Cambria"/>
          <w:b/>
          <w:iCs/>
          <w:sz w:val="26"/>
          <w:szCs w:val="26"/>
        </w:rPr>
      </w:pPr>
    </w:p>
    <w:p w:rsidR="00E364B0" w:rsidRDefault="00E364B0" w:rsidP="00E364B0">
      <w:pPr>
        <w:spacing w:after="0" w:line="276" w:lineRule="auto"/>
        <w:rPr>
          <w:rFonts w:ascii="Cambria" w:hAnsi="Cambria"/>
          <w:b/>
          <w:iCs/>
          <w:sz w:val="26"/>
          <w:szCs w:val="26"/>
        </w:rPr>
      </w:pPr>
    </w:p>
    <w:p w:rsidR="00664B6D" w:rsidRDefault="00664B6D">
      <w:pPr>
        <w:spacing w:after="160" w:line="259" w:lineRule="auto"/>
        <w:jc w:val="left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br w:type="page"/>
      </w:r>
    </w:p>
    <w:p w:rsidR="00664B6D" w:rsidRDefault="00664B6D" w:rsidP="00664B6D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664B6D" w:rsidRPr="00B939AF" w:rsidTr="00386945">
        <w:tc>
          <w:tcPr>
            <w:tcW w:w="1152" w:type="dxa"/>
            <w:vAlign w:val="center"/>
          </w:tcPr>
          <w:p w:rsidR="00664B6D" w:rsidRPr="00B939AF" w:rsidRDefault="00664B6D" w:rsidP="00386945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664B6D" w:rsidRPr="00B939AF" w:rsidRDefault="00664B6D" w:rsidP="00386945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664B6D" w:rsidTr="00386945">
        <w:tc>
          <w:tcPr>
            <w:tcW w:w="1152" w:type="dxa"/>
          </w:tcPr>
          <w:p w:rsidR="00664B6D" w:rsidRDefault="00664B6D" w:rsidP="00386945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664B6D" w:rsidRDefault="00664B6D" w:rsidP="00386945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d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664B6D" w:rsidRPr="00B41482" w:rsidTr="00386945">
        <w:tc>
          <w:tcPr>
            <w:tcW w:w="1152" w:type="dxa"/>
          </w:tcPr>
          <w:p w:rsidR="00664B6D" w:rsidRDefault="00664B6D" w:rsidP="00386945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664B6D" w:rsidRDefault="00664B6D" w:rsidP="00386945">
            <w:pPr>
              <w:spacing w:before="80" w:line="360" w:lineRule="auto"/>
              <w:jc w:val="left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d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664B6D" w:rsidRDefault="00664B6D" w:rsidP="00664B6D"/>
    <w:p w:rsidR="00FA6719" w:rsidRPr="00664B6D" w:rsidRDefault="00FA6719" w:rsidP="00664B6D">
      <w:pPr>
        <w:spacing w:line="276" w:lineRule="auto"/>
        <w:rPr>
          <w:rFonts w:ascii="Cambria" w:hAnsi="Cambria"/>
          <w:b/>
          <w:iCs/>
          <w:sz w:val="26"/>
          <w:szCs w:val="26"/>
        </w:rPr>
      </w:pPr>
      <w:bookmarkStart w:id="0" w:name="_GoBack"/>
      <w:bookmarkEnd w:id="0"/>
    </w:p>
    <w:sectPr w:rsidR="00FA6719" w:rsidRPr="00664B6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6D" w:rsidRDefault="00664B6D" w:rsidP="00664B6D">
      <w:pPr>
        <w:spacing w:after="0" w:line="240" w:lineRule="auto"/>
      </w:pPr>
      <w:r>
        <w:separator/>
      </w:r>
    </w:p>
  </w:endnote>
  <w:endnote w:type="continuationSeparator" w:id="0">
    <w:p w:rsidR="00664B6D" w:rsidRDefault="00664B6D" w:rsidP="0066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664B6D" w:rsidRDefault="00664B6D" w:rsidP="00664B6D">
        <w:pPr>
          <w:pStyle w:val="Stopka"/>
          <w:tabs>
            <w:tab w:val="left" w:pos="3976"/>
            <w:tab w:val="center" w:pos="4356"/>
          </w:tabs>
          <w:ind w:right="360"/>
          <w:jc w:val="left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46C9FFB0" wp14:editId="4E62D1FC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664B6D" w:rsidRPr="000A50B4" w:rsidRDefault="00664B6D" w:rsidP="00664B6D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6D" w:rsidRDefault="00664B6D" w:rsidP="00664B6D">
      <w:pPr>
        <w:spacing w:after="0" w:line="240" w:lineRule="auto"/>
      </w:pPr>
      <w:r>
        <w:separator/>
      </w:r>
    </w:p>
  </w:footnote>
  <w:footnote w:type="continuationSeparator" w:id="0">
    <w:p w:rsidR="00664B6D" w:rsidRDefault="00664B6D" w:rsidP="0066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B0"/>
    <w:rsid w:val="00664B6D"/>
    <w:rsid w:val="007650E1"/>
    <w:rsid w:val="00C12D05"/>
    <w:rsid w:val="00E05AE2"/>
    <w:rsid w:val="00E364B0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79AAE-A28E-4C00-AD36-4DA19F3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4B0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B6D"/>
  </w:style>
  <w:style w:type="paragraph" w:styleId="Stopka">
    <w:name w:val="footer"/>
    <w:basedOn w:val="Normalny"/>
    <w:link w:val="StopkaZnak"/>
    <w:uiPriority w:val="99"/>
    <w:unhideWhenUsed/>
    <w:rsid w:val="0066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2024-12-20T07:42:00Z</dcterms:created>
  <dcterms:modified xsi:type="dcterms:W3CDTF">2024-12-20T07:48:00Z</dcterms:modified>
</cp:coreProperties>
</file>