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5F" w:rsidRPr="00826C1F" w:rsidRDefault="00BE025F" w:rsidP="00BE025F">
      <w:pPr>
        <w:spacing w:after="80"/>
        <w:jc w:val="both"/>
        <w:rPr>
          <w:rFonts w:ascii="Cambria" w:hAnsi="Cambria"/>
          <w:b/>
          <w:color w:val="C00000"/>
          <w:sz w:val="28"/>
          <w:szCs w:val="26"/>
        </w:rPr>
      </w:pPr>
      <w:r w:rsidRPr="00826C1F">
        <w:rPr>
          <w:rFonts w:ascii="Cambria" w:hAnsi="Cambria"/>
          <w:b/>
          <w:color w:val="C00000"/>
          <w:sz w:val="28"/>
          <w:szCs w:val="26"/>
        </w:rPr>
        <w:t>Praca z tekstem</w:t>
      </w:r>
    </w:p>
    <w:p w:rsidR="00C129AC" w:rsidRPr="00316084" w:rsidRDefault="007F655D" w:rsidP="00245142">
      <w:pPr>
        <w:spacing w:after="0"/>
        <w:jc w:val="both"/>
        <w:rPr>
          <w:rFonts w:asciiTheme="majorHAnsi" w:hAnsiTheme="majorHAnsi"/>
          <w:iCs/>
          <w:sz w:val="24"/>
          <w:szCs w:val="26"/>
        </w:rPr>
      </w:pPr>
      <w:r w:rsidRPr="00316084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316084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7F655D" w:rsidRPr="00316084" w:rsidRDefault="007F655D" w:rsidP="007F655D">
      <w:pPr>
        <w:spacing w:after="0" w:line="360" w:lineRule="auto"/>
        <w:jc w:val="both"/>
        <w:rPr>
          <w:rFonts w:asciiTheme="majorHAnsi" w:hAnsiTheme="majorHAnsi"/>
          <w:iCs/>
          <w:sz w:val="24"/>
          <w:szCs w:val="26"/>
        </w:rPr>
      </w:pPr>
    </w:p>
    <w:p w:rsidR="00BE025F" w:rsidRPr="00316084" w:rsidRDefault="00BE025F" w:rsidP="007F655D">
      <w:pPr>
        <w:spacing w:after="0" w:line="360" w:lineRule="auto"/>
        <w:jc w:val="both"/>
        <w:rPr>
          <w:rFonts w:asciiTheme="majorHAnsi" w:hAnsiTheme="majorHAnsi"/>
          <w:b/>
          <w:iCs/>
          <w:sz w:val="24"/>
          <w:szCs w:val="26"/>
        </w:rPr>
      </w:pPr>
      <w:r w:rsidRPr="00BE025F">
        <w:rPr>
          <w:rFonts w:asciiTheme="majorHAnsi" w:hAnsiTheme="majorHAnsi"/>
          <w:b/>
          <w:i/>
          <w:iCs/>
          <w:sz w:val="24"/>
          <w:szCs w:val="26"/>
        </w:rPr>
        <w:t>Akt unii lubelskiej</w:t>
      </w:r>
      <w:r w:rsidRPr="00BE025F">
        <w:rPr>
          <w:rFonts w:asciiTheme="majorHAnsi" w:hAnsiTheme="majorHAnsi"/>
          <w:b/>
          <w:iCs/>
          <w:sz w:val="24"/>
          <w:szCs w:val="26"/>
        </w:rPr>
        <w:t>, 1569 r.</w:t>
      </w:r>
    </w:p>
    <w:p w:rsidR="00880042" w:rsidRPr="00316084" w:rsidRDefault="00880042" w:rsidP="007F655D">
      <w:pPr>
        <w:spacing w:after="0"/>
        <w:jc w:val="both"/>
        <w:rPr>
          <w:rFonts w:asciiTheme="majorHAnsi" w:hAnsiTheme="majorHAnsi"/>
          <w:i/>
          <w:sz w:val="24"/>
          <w:szCs w:val="26"/>
        </w:rPr>
      </w:pPr>
      <w:r w:rsidRPr="00316084">
        <w:rPr>
          <w:rFonts w:asciiTheme="majorHAnsi" w:hAnsiTheme="majorHAnsi"/>
          <w:i/>
          <w:sz w:val="24"/>
          <w:szCs w:val="26"/>
        </w:rPr>
        <w:t>Królestwo Polskie i Wielkie Księstwo Litewskie jest jedno ni</w:t>
      </w:r>
      <w:r w:rsidR="003B6CCD" w:rsidRPr="00316084">
        <w:rPr>
          <w:rFonts w:asciiTheme="majorHAnsi" w:hAnsiTheme="majorHAnsi"/>
          <w:i/>
          <w:sz w:val="24"/>
          <w:szCs w:val="26"/>
        </w:rPr>
        <w:t>erozdzielne i nieróżne ciało, a </w:t>
      </w:r>
      <w:r w:rsidRPr="00316084">
        <w:rPr>
          <w:rFonts w:asciiTheme="majorHAnsi" w:hAnsiTheme="majorHAnsi"/>
          <w:i/>
          <w:sz w:val="24"/>
          <w:szCs w:val="26"/>
        </w:rPr>
        <w:t xml:space="preserve">także nieróżna, ale jedna </w:t>
      </w:r>
      <w:proofErr w:type="spellStart"/>
      <w:r w:rsidR="00245142" w:rsidRPr="00316084">
        <w:rPr>
          <w:rFonts w:asciiTheme="majorHAnsi" w:hAnsiTheme="majorHAnsi"/>
          <w:i/>
          <w:sz w:val="24"/>
          <w:szCs w:val="26"/>
        </w:rPr>
        <w:t>spol</w:t>
      </w:r>
      <w:r w:rsidRPr="00316084">
        <w:rPr>
          <w:rFonts w:asciiTheme="majorHAnsi" w:hAnsiTheme="majorHAnsi"/>
          <w:i/>
          <w:sz w:val="24"/>
          <w:szCs w:val="26"/>
        </w:rPr>
        <w:t>na</w:t>
      </w:r>
      <w:proofErr w:type="spellEnd"/>
      <w:r w:rsidRPr="00316084">
        <w:rPr>
          <w:rFonts w:asciiTheme="majorHAnsi" w:hAnsiTheme="majorHAnsi"/>
          <w:i/>
          <w:sz w:val="24"/>
          <w:szCs w:val="26"/>
        </w:rPr>
        <w:t xml:space="preserve"> Rzeczpospolita, która się ze dwu p</w:t>
      </w:r>
      <w:r w:rsidR="00F860CE" w:rsidRPr="00316084">
        <w:rPr>
          <w:rFonts w:asciiTheme="majorHAnsi" w:hAnsiTheme="majorHAnsi"/>
          <w:i/>
          <w:sz w:val="24"/>
          <w:szCs w:val="26"/>
        </w:rPr>
        <w:t>aństw i </w:t>
      </w:r>
      <w:r w:rsidR="003B6CCD" w:rsidRPr="00316084">
        <w:rPr>
          <w:rFonts w:asciiTheme="majorHAnsi" w:hAnsiTheme="majorHAnsi"/>
          <w:i/>
          <w:sz w:val="24"/>
          <w:szCs w:val="26"/>
        </w:rPr>
        <w:t>narodów w </w:t>
      </w:r>
      <w:r w:rsidRPr="00316084">
        <w:rPr>
          <w:rFonts w:asciiTheme="majorHAnsi" w:hAnsiTheme="majorHAnsi"/>
          <w:i/>
          <w:sz w:val="24"/>
          <w:szCs w:val="26"/>
        </w:rPr>
        <w:t>jeden lud zniosła</w:t>
      </w:r>
      <w:r w:rsidR="00245142" w:rsidRPr="00316084">
        <w:rPr>
          <w:rFonts w:asciiTheme="majorHAnsi" w:hAnsiTheme="majorHAnsi"/>
          <w:i/>
          <w:sz w:val="24"/>
          <w:szCs w:val="26"/>
        </w:rPr>
        <w:t>*</w:t>
      </w:r>
      <w:r w:rsidRPr="00316084">
        <w:rPr>
          <w:rFonts w:asciiTheme="majorHAnsi" w:hAnsiTheme="majorHAnsi"/>
          <w:i/>
          <w:sz w:val="24"/>
          <w:szCs w:val="26"/>
        </w:rPr>
        <w:t xml:space="preserve"> i spoiła</w:t>
      </w:r>
      <w:r w:rsidR="00245142" w:rsidRPr="00316084">
        <w:rPr>
          <w:rFonts w:asciiTheme="majorHAnsi" w:hAnsiTheme="majorHAnsi"/>
          <w:i/>
          <w:sz w:val="24"/>
          <w:szCs w:val="26"/>
        </w:rPr>
        <w:t>*</w:t>
      </w:r>
      <w:r w:rsidRPr="00316084">
        <w:rPr>
          <w:rFonts w:asciiTheme="majorHAnsi" w:hAnsiTheme="majorHAnsi"/>
          <w:i/>
          <w:sz w:val="24"/>
          <w:szCs w:val="26"/>
        </w:rPr>
        <w:t>.</w:t>
      </w:r>
    </w:p>
    <w:p w:rsidR="00BE025F" w:rsidRDefault="00BE025F" w:rsidP="00BE025F">
      <w:pPr>
        <w:spacing w:after="0" w:line="240" w:lineRule="auto"/>
        <w:jc w:val="right"/>
        <w:rPr>
          <w:rFonts w:asciiTheme="majorHAnsi" w:hAnsiTheme="majorHAnsi"/>
          <w:i/>
          <w:sz w:val="18"/>
          <w:szCs w:val="20"/>
        </w:rPr>
      </w:pPr>
      <w:r w:rsidRPr="00826C1F">
        <w:rPr>
          <w:rFonts w:asciiTheme="majorHAnsi" w:hAnsiTheme="majorHAnsi"/>
          <w:i/>
          <w:sz w:val="18"/>
          <w:szCs w:val="20"/>
        </w:rPr>
        <w:t xml:space="preserve">Wiek XVI–XVIII w źródłach. Wybór tekstów źródłowych z propozycjami metodycznymi </w:t>
      </w:r>
    </w:p>
    <w:p w:rsidR="00BE025F" w:rsidRDefault="00BE025F" w:rsidP="00BE025F">
      <w:pPr>
        <w:spacing w:after="0" w:line="240" w:lineRule="auto"/>
        <w:jc w:val="right"/>
        <w:rPr>
          <w:rFonts w:asciiTheme="majorHAnsi" w:hAnsiTheme="majorHAnsi"/>
          <w:sz w:val="18"/>
          <w:szCs w:val="20"/>
        </w:rPr>
      </w:pPr>
      <w:r w:rsidRPr="00826C1F">
        <w:rPr>
          <w:rFonts w:asciiTheme="majorHAnsi" w:hAnsiTheme="majorHAnsi"/>
          <w:i/>
          <w:sz w:val="18"/>
          <w:szCs w:val="20"/>
        </w:rPr>
        <w:t>dla nauczycieli historii i studentów</w:t>
      </w:r>
      <w:r w:rsidRPr="00826C1F">
        <w:rPr>
          <w:rFonts w:asciiTheme="majorHAnsi" w:hAnsiTheme="majorHAnsi"/>
          <w:sz w:val="18"/>
          <w:szCs w:val="20"/>
        </w:rPr>
        <w:t>, oprac. M. Sobańska-</w:t>
      </w:r>
      <w:proofErr w:type="spellStart"/>
      <w:r w:rsidRPr="00826C1F">
        <w:rPr>
          <w:rFonts w:asciiTheme="majorHAnsi" w:hAnsiTheme="majorHAnsi"/>
          <w:sz w:val="18"/>
          <w:szCs w:val="20"/>
        </w:rPr>
        <w:t>Bondaruk</w:t>
      </w:r>
      <w:proofErr w:type="spellEnd"/>
      <w:r w:rsidRPr="00826C1F">
        <w:rPr>
          <w:rFonts w:asciiTheme="majorHAnsi" w:hAnsiTheme="majorHAnsi"/>
          <w:sz w:val="18"/>
          <w:szCs w:val="20"/>
        </w:rPr>
        <w:t xml:space="preserve">, S.B. </w:t>
      </w:r>
      <w:proofErr w:type="spellStart"/>
      <w:r w:rsidRPr="00826C1F">
        <w:rPr>
          <w:rFonts w:asciiTheme="majorHAnsi" w:hAnsiTheme="majorHAnsi"/>
          <w:sz w:val="18"/>
          <w:szCs w:val="20"/>
        </w:rPr>
        <w:t>Lenard</w:t>
      </w:r>
      <w:proofErr w:type="spellEnd"/>
      <w:r w:rsidRPr="00826C1F">
        <w:rPr>
          <w:rFonts w:asciiTheme="majorHAnsi" w:hAnsiTheme="majorHAnsi"/>
          <w:sz w:val="18"/>
          <w:szCs w:val="20"/>
        </w:rPr>
        <w:t xml:space="preserve">, </w:t>
      </w:r>
    </w:p>
    <w:p w:rsidR="00BE025F" w:rsidRPr="003F5E05" w:rsidRDefault="00BE025F" w:rsidP="00BE025F">
      <w:pPr>
        <w:spacing w:after="0" w:line="240" w:lineRule="auto"/>
        <w:jc w:val="right"/>
        <w:rPr>
          <w:rFonts w:asciiTheme="majorHAnsi" w:hAnsiTheme="majorHAnsi"/>
          <w:sz w:val="18"/>
          <w:szCs w:val="20"/>
        </w:rPr>
      </w:pPr>
      <w:r w:rsidRPr="00826C1F">
        <w:rPr>
          <w:rFonts w:asciiTheme="majorHAnsi" w:hAnsiTheme="majorHAnsi"/>
          <w:sz w:val="18"/>
          <w:szCs w:val="20"/>
        </w:rPr>
        <w:t>Wydawnictwo Naukowe PWN, Warszawa</w:t>
      </w:r>
      <w:r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1997, s. 101.</w:t>
      </w:r>
    </w:p>
    <w:p w:rsidR="00BE025F" w:rsidRDefault="00BE025F" w:rsidP="00BE025F">
      <w:pPr>
        <w:spacing w:after="0" w:line="360" w:lineRule="auto"/>
        <w:rPr>
          <w:rFonts w:asciiTheme="majorHAnsi" w:hAnsiTheme="majorHAnsi"/>
          <w:b/>
          <w:sz w:val="18"/>
          <w:szCs w:val="20"/>
        </w:rPr>
      </w:pPr>
    </w:p>
    <w:p w:rsidR="00245142" w:rsidRPr="00316084" w:rsidRDefault="00245142" w:rsidP="00245142">
      <w:pPr>
        <w:spacing w:after="0"/>
        <w:rPr>
          <w:rFonts w:asciiTheme="majorHAnsi" w:hAnsiTheme="majorHAnsi"/>
          <w:sz w:val="18"/>
          <w:szCs w:val="20"/>
        </w:rPr>
      </w:pPr>
      <w:r w:rsidRPr="00316084">
        <w:rPr>
          <w:rFonts w:asciiTheme="majorHAnsi" w:hAnsiTheme="majorHAnsi"/>
          <w:b/>
          <w:sz w:val="18"/>
          <w:szCs w:val="20"/>
        </w:rPr>
        <w:t xml:space="preserve">znieść </w:t>
      </w:r>
      <w:r w:rsidRPr="00316084">
        <w:rPr>
          <w:rFonts w:asciiTheme="majorHAnsi" w:hAnsiTheme="majorHAnsi"/>
          <w:sz w:val="18"/>
          <w:szCs w:val="20"/>
        </w:rPr>
        <w:t>– tu: zgromadzić</w:t>
      </w:r>
    </w:p>
    <w:p w:rsidR="00245142" w:rsidRPr="00316084" w:rsidRDefault="00245142" w:rsidP="00245142">
      <w:pPr>
        <w:spacing w:after="0"/>
        <w:rPr>
          <w:rFonts w:asciiTheme="majorHAnsi" w:hAnsiTheme="majorHAnsi"/>
          <w:sz w:val="18"/>
          <w:szCs w:val="20"/>
        </w:rPr>
      </w:pPr>
      <w:r w:rsidRPr="00316084">
        <w:rPr>
          <w:rFonts w:asciiTheme="majorHAnsi" w:hAnsiTheme="majorHAnsi"/>
          <w:b/>
          <w:sz w:val="18"/>
          <w:szCs w:val="20"/>
        </w:rPr>
        <w:t>spoić</w:t>
      </w:r>
      <w:r w:rsidRPr="00316084">
        <w:rPr>
          <w:rFonts w:asciiTheme="majorHAnsi" w:hAnsiTheme="majorHAnsi"/>
          <w:sz w:val="18"/>
          <w:szCs w:val="20"/>
        </w:rPr>
        <w:t xml:space="preserve"> – tu: złączyć</w:t>
      </w:r>
    </w:p>
    <w:p w:rsidR="00FC5EF4" w:rsidRPr="00316084" w:rsidRDefault="00FC5EF4" w:rsidP="00245142">
      <w:pPr>
        <w:spacing w:after="0"/>
        <w:rPr>
          <w:rFonts w:asciiTheme="majorHAnsi" w:hAnsiTheme="majorHAnsi"/>
          <w:sz w:val="18"/>
          <w:szCs w:val="20"/>
        </w:rPr>
      </w:pPr>
    </w:p>
    <w:p w:rsidR="00FF0118" w:rsidRPr="00316084" w:rsidRDefault="00FF0118" w:rsidP="00FF0118">
      <w:pPr>
        <w:spacing w:after="0" w:line="240" w:lineRule="auto"/>
        <w:jc w:val="right"/>
        <w:rPr>
          <w:rFonts w:asciiTheme="majorHAnsi" w:hAnsiTheme="majorHAnsi"/>
          <w:sz w:val="24"/>
          <w:szCs w:val="26"/>
        </w:rPr>
      </w:pPr>
    </w:p>
    <w:p w:rsidR="00C129AC" w:rsidRPr="00316084" w:rsidRDefault="00C129A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b/>
          <w:sz w:val="24"/>
          <w:szCs w:val="26"/>
        </w:rPr>
        <w:t xml:space="preserve">1. </w:t>
      </w:r>
      <w:r w:rsidR="0072041D" w:rsidRPr="00316084">
        <w:rPr>
          <w:rFonts w:asciiTheme="majorHAnsi" w:hAnsiTheme="majorHAnsi"/>
          <w:sz w:val="24"/>
          <w:szCs w:val="26"/>
        </w:rPr>
        <w:t>Powyższy tekst jest</w:t>
      </w:r>
    </w:p>
    <w:p w:rsidR="000740D4" w:rsidRPr="00316084" w:rsidRDefault="00C129A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 xml:space="preserve">a) </w:t>
      </w:r>
      <w:r w:rsidR="008E2F8C" w:rsidRPr="00316084">
        <w:rPr>
          <w:rFonts w:asciiTheme="majorHAnsi" w:hAnsiTheme="majorHAnsi"/>
          <w:sz w:val="24"/>
          <w:szCs w:val="26"/>
        </w:rPr>
        <w:t>dokumentem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8E2F8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>b) zapisem kronikarskim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8E2F8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>c) fragmentem pamiętnika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8E2F8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>d) listem dyplomatycznym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FF0118" w:rsidRPr="00316084" w:rsidRDefault="00FF0118" w:rsidP="00FF0118">
      <w:pPr>
        <w:spacing w:after="0" w:line="240" w:lineRule="auto"/>
        <w:rPr>
          <w:rFonts w:asciiTheme="majorHAnsi" w:hAnsiTheme="majorHAnsi"/>
          <w:sz w:val="24"/>
          <w:szCs w:val="26"/>
        </w:rPr>
      </w:pPr>
    </w:p>
    <w:p w:rsidR="00FF0118" w:rsidRPr="00316084" w:rsidRDefault="00FF0118" w:rsidP="00FF0118">
      <w:pPr>
        <w:spacing w:after="0" w:line="240" w:lineRule="auto"/>
        <w:rPr>
          <w:rFonts w:asciiTheme="majorHAnsi" w:hAnsiTheme="majorHAnsi"/>
          <w:sz w:val="24"/>
          <w:szCs w:val="26"/>
        </w:rPr>
      </w:pPr>
    </w:p>
    <w:p w:rsidR="008E2F8C" w:rsidRPr="00316084" w:rsidRDefault="00362B31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b/>
          <w:sz w:val="24"/>
          <w:szCs w:val="26"/>
        </w:rPr>
        <w:t>2.</w:t>
      </w:r>
      <w:r w:rsidR="008E2F8C" w:rsidRPr="00316084">
        <w:rPr>
          <w:rFonts w:asciiTheme="majorHAnsi" w:hAnsiTheme="majorHAnsi"/>
          <w:sz w:val="24"/>
          <w:szCs w:val="26"/>
        </w:rPr>
        <w:t xml:space="preserve"> Z tekstu wynika, że </w:t>
      </w:r>
      <w:r w:rsidR="007F22E3" w:rsidRPr="00316084">
        <w:rPr>
          <w:rFonts w:asciiTheme="majorHAnsi" w:hAnsiTheme="majorHAnsi"/>
          <w:sz w:val="24"/>
          <w:szCs w:val="26"/>
        </w:rPr>
        <w:t>Polska i Litwa</w:t>
      </w:r>
    </w:p>
    <w:p w:rsidR="007F22E3" w:rsidRPr="00316084" w:rsidRDefault="007F22E3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>a) rozłączą się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7F22E3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>b) staną się jednym państwem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8E2F8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 xml:space="preserve">c) </w:t>
      </w:r>
      <w:r w:rsidR="0076399E" w:rsidRPr="00316084">
        <w:rPr>
          <w:rFonts w:asciiTheme="majorHAnsi" w:hAnsiTheme="majorHAnsi"/>
          <w:sz w:val="24"/>
          <w:szCs w:val="26"/>
        </w:rPr>
        <w:t>pozostaną w takim sojuszu</w:t>
      </w:r>
      <w:r w:rsidR="007F22E3" w:rsidRPr="00316084">
        <w:rPr>
          <w:rFonts w:asciiTheme="majorHAnsi" w:hAnsiTheme="majorHAnsi"/>
          <w:sz w:val="24"/>
          <w:szCs w:val="26"/>
        </w:rPr>
        <w:t xml:space="preserve"> jak dotychczas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8E2F8C" w:rsidRPr="00316084" w:rsidRDefault="008E2F8C" w:rsidP="007F655D">
      <w:pPr>
        <w:spacing w:after="80"/>
        <w:rPr>
          <w:rFonts w:asciiTheme="majorHAnsi" w:hAnsiTheme="majorHAnsi"/>
          <w:sz w:val="24"/>
          <w:szCs w:val="26"/>
        </w:rPr>
      </w:pPr>
      <w:r w:rsidRPr="00316084">
        <w:rPr>
          <w:rFonts w:asciiTheme="majorHAnsi" w:hAnsiTheme="majorHAnsi"/>
          <w:sz w:val="24"/>
          <w:szCs w:val="26"/>
        </w:rPr>
        <w:t xml:space="preserve">d) </w:t>
      </w:r>
      <w:r w:rsidR="007F22E3" w:rsidRPr="00316084">
        <w:rPr>
          <w:rFonts w:asciiTheme="majorHAnsi" w:hAnsiTheme="majorHAnsi"/>
          <w:sz w:val="24"/>
          <w:szCs w:val="26"/>
        </w:rPr>
        <w:t xml:space="preserve">zaczną ze sobą </w:t>
      </w:r>
      <w:r w:rsidR="001646AD">
        <w:rPr>
          <w:rFonts w:asciiTheme="majorHAnsi" w:hAnsiTheme="majorHAnsi"/>
          <w:sz w:val="24"/>
          <w:szCs w:val="26"/>
        </w:rPr>
        <w:t>walczyć</w:t>
      </w:r>
      <w:r w:rsidR="0072041D" w:rsidRPr="00316084">
        <w:rPr>
          <w:rFonts w:asciiTheme="majorHAnsi" w:hAnsiTheme="majorHAnsi"/>
          <w:sz w:val="24"/>
          <w:szCs w:val="26"/>
        </w:rPr>
        <w:t>.</w:t>
      </w:r>
    </w:p>
    <w:p w:rsidR="00FF0118" w:rsidRPr="00316084" w:rsidRDefault="00FF0118" w:rsidP="00FF0118">
      <w:pPr>
        <w:spacing w:after="0" w:line="240" w:lineRule="auto"/>
        <w:rPr>
          <w:rFonts w:asciiTheme="majorHAnsi" w:hAnsiTheme="majorHAnsi"/>
          <w:sz w:val="24"/>
          <w:szCs w:val="26"/>
        </w:rPr>
      </w:pPr>
    </w:p>
    <w:p w:rsidR="003B6CCD" w:rsidRPr="00316084" w:rsidRDefault="003B6CCD" w:rsidP="00FF0118">
      <w:pPr>
        <w:spacing w:after="0" w:line="240" w:lineRule="auto"/>
        <w:rPr>
          <w:rFonts w:asciiTheme="majorHAnsi" w:hAnsiTheme="majorHAnsi"/>
          <w:sz w:val="24"/>
          <w:szCs w:val="26"/>
        </w:rPr>
      </w:pPr>
    </w:p>
    <w:p w:rsidR="00F759A4" w:rsidRPr="00316084" w:rsidRDefault="00F759A4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7F655D" w:rsidRPr="00316084" w:rsidRDefault="007F655D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7F655D" w:rsidRPr="00316084" w:rsidRDefault="007F655D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7F655D" w:rsidRPr="00316084" w:rsidRDefault="007F655D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7F655D" w:rsidRPr="00316084" w:rsidRDefault="007F655D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7F655D" w:rsidRDefault="007F655D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316084" w:rsidRDefault="00316084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316084" w:rsidRDefault="00316084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BE025F" w:rsidRDefault="00BE025F">
      <w:pPr>
        <w:spacing w:after="0" w:line="240" w:lineRule="auto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br w:type="page"/>
      </w:r>
    </w:p>
    <w:p w:rsidR="00BE025F" w:rsidRPr="00826C1F" w:rsidRDefault="00BE025F" w:rsidP="00BE025F">
      <w:pPr>
        <w:spacing w:after="360" w:line="259" w:lineRule="auto"/>
        <w:rPr>
          <w:rFonts w:ascii="Cambria" w:hAnsi="Cambria"/>
          <w:b/>
          <w:sz w:val="28"/>
          <w:szCs w:val="32"/>
        </w:rPr>
      </w:pPr>
      <w:r w:rsidRPr="00826C1F">
        <w:rPr>
          <w:rFonts w:ascii="Cambria" w:hAnsi="Cambria"/>
          <w:b/>
          <w:color w:val="C00000"/>
          <w:sz w:val="28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BE025F" w:rsidRPr="00826C1F" w:rsidTr="00EF177B">
        <w:tc>
          <w:tcPr>
            <w:tcW w:w="1152" w:type="dxa"/>
            <w:vAlign w:val="center"/>
          </w:tcPr>
          <w:p w:rsidR="00BE025F" w:rsidRPr="00826C1F" w:rsidRDefault="00BE025F" w:rsidP="00EF177B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6"/>
              </w:rPr>
            </w:pPr>
            <w:r w:rsidRPr="00826C1F">
              <w:rPr>
                <w:rFonts w:ascii="Cambria" w:hAnsi="Cambria" w:cs="Calibri"/>
                <w:b/>
                <w:sz w:val="24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BE025F" w:rsidRPr="00826C1F" w:rsidRDefault="00BE025F" w:rsidP="00EF177B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6"/>
              </w:rPr>
            </w:pPr>
            <w:r w:rsidRPr="00826C1F">
              <w:rPr>
                <w:rFonts w:ascii="Cambria" w:hAnsi="Cambria" w:cs="Calibri"/>
                <w:b/>
                <w:sz w:val="24"/>
                <w:szCs w:val="26"/>
              </w:rPr>
              <w:t>Odpowiedź</w:t>
            </w:r>
          </w:p>
        </w:tc>
      </w:tr>
      <w:tr w:rsidR="00BE025F" w:rsidRPr="00826C1F" w:rsidTr="00EF177B">
        <w:tc>
          <w:tcPr>
            <w:tcW w:w="1152" w:type="dxa"/>
          </w:tcPr>
          <w:p w:rsidR="00BE025F" w:rsidRPr="00826C1F" w:rsidRDefault="00BE025F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1.</w:t>
            </w:r>
          </w:p>
        </w:tc>
        <w:tc>
          <w:tcPr>
            <w:tcW w:w="1678" w:type="dxa"/>
          </w:tcPr>
          <w:p w:rsidR="00BE025F" w:rsidRPr="00826C1F" w:rsidRDefault="00BE025F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>
              <w:rPr>
                <w:rFonts w:ascii="Cambria" w:hAnsi="Cambria" w:cs="Calibri"/>
                <w:sz w:val="24"/>
                <w:szCs w:val="26"/>
              </w:rPr>
              <w:t>a</w:t>
            </w:r>
            <w:r w:rsidRPr="00826C1F">
              <w:rPr>
                <w:rFonts w:ascii="Cambria" w:hAnsi="Cambria" w:cs="Calibri"/>
                <w:sz w:val="24"/>
                <w:szCs w:val="26"/>
              </w:rPr>
              <w:t>)</w:t>
            </w:r>
          </w:p>
        </w:tc>
      </w:tr>
      <w:tr w:rsidR="00BE025F" w:rsidRPr="00826C1F" w:rsidTr="00EF177B">
        <w:tc>
          <w:tcPr>
            <w:tcW w:w="1152" w:type="dxa"/>
          </w:tcPr>
          <w:p w:rsidR="00BE025F" w:rsidRPr="00826C1F" w:rsidRDefault="00BE025F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2.</w:t>
            </w:r>
          </w:p>
        </w:tc>
        <w:tc>
          <w:tcPr>
            <w:tcW w:w="1678" w:type="dxa"/>
          </w:tcPr>
          <w:p w:rsidR="00BE025F" w:rsidRPr="00826C1F" w:rsidRDefault="00BE025F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>
              <w:rPr>
                <w:rFonts w:ascii="Cambria" w:hAnsi="Cambria" w:cs="Calibri"/>
                <w:sz w:val="24"/>
                <w:szCs w:val="26"/>
              </w:rPr>
              <w:t>b</w:t>
            </w:r>
            <w:r w:rsidRPr="00826C1F">
              <w:rPr>
                <w:rFonts w:ascii="Cambria" w:hAnsi="Cambria" w:cs="Calibri"/>
                <w:sz w:val="24"/>
                <w:szCs w:val="26"/>
              </w:rPr>
              <w:t>)</w:t>
            </w:r>
          </w:p>
        </w:tc>
      </w:tr>
    </w:tbl>
    <w:p w:rsidR="00316084" w:rsidRPr="00316084" w:rsidRDefault="00316084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</w:p>
    <w:p w:rsidR="00FC5EF4" w:rsidRPr="00316084" w:rsidRDefault="00FC5EF4" w:rsidP="00880042">
      <w:pPr>
        <w:spacing w:after="0" w:line="360" w:lineRule="auto"/>
        <w:rPr>
          <w:rFonts w:asciiTheme="majorHAnsi" w:hAnsiTheme="majorHAnsi"/>
          <w:sz w:val="24"/>
          <w:szCs w:val="26"/>
        </w:rPr>
      </w:pPr>
      <w:bookmarkStart w:id="0" w:name="_GoBack"/>
      <w:bookmarkEnd w:id="0"/>
    </w:p>
    <w:sectPr w:rsidR="00FC5EF4" w:rsidRPr="00316084" w:rsidSect="000740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5F" w:rsidRDefault="00BE025F" w:rsidP="00BE025F">
      <w:pPr>
        <w:spacing w:after="0" w:line="240" w:lineRule="auto"/>
      </w:pPr>
      <w:r>
        <w:separator/>
      </w:r>
    </w:p>
  </w:endnote>
  <w:endnote w:type="continuationSeparator" w:id="0">
    <w:p w:rsidR="00BE025F" w:rsidRDefault="00BE025F" w:rsidP="00BE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BE025F" w:rsidRDefault="00BE025F" w:rsidP="00BE025F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398B2CE8" wp14:editId="2B4687C4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BE025F" w:rsidRPr="000A50B4" w:rsidRDefault="00BE025F" w:rsidP="00BE025F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5F" w:rsidRDefault="00BE025F" w:rsidP="00BE025F">
      <w:pPr>
        <w:spacing w:after="0" w:line="240" w:lineRule="auto"/>
      </w:pPr>
      <w:r>
        <w:separator/>
      </w:r>
    </w:p>
  </w:footnote>
  <w:footnote w:type="continuationSeparator" w:id="0">
    <w:p w:rsidR="00BE025F" w:rsidRDefault="00BE025F" w:rsidP="00BE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42"/>
    <w:rsid w:val="000740D4"/>
    <w:rsid w:val="001572D1"/>
    <w:rsid w:val="001646AD"/>
    <w:rsid w:val="00245142"/>
    <w:rsid w:val="00316084"/>
    <w:rsid w:val="00362B31"/>
    <w:rsid w:val="003B6CCD"/>
    <w:rsid w:val="003D0A4A"/>
    <w:rsid w:val="00476A6E"/>
    <w:rsid w:val="0072041D"/>
    <w:rsid w:val="0076399E"/>
    <w:rsid w:val="00765960"/>
    <w:rsid w:val="007F22E3"/>
    <w:rsid w:val="007F655D"/>
    <w:rsid w:val="00880042"/>
    <w:rsid w:val="008E2F8C"/>
    <w:rsid w:val="00BE025F"/>
    <w:rsid w:val="00C129AC"/>
    <w:rsid w:val="00CA05A9"/>
    <w:rsid w:val="00D846AC"/>
    <w:rsid w:val="00EB27E6"/>
    <w:rsid w:val="00ED297B"/>
    <w:rsid w:val="00F759A4"/>
    <w:rsid w:val="00F860CE"/>
    <w:rsid w:val="00FC5EF4"/>
    <w:rsid w:val="00FE496C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EE5C-74A7-4463-A36D-D9A07414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0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2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0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25F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E02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Grygo</cp:lastModifiedBy>
  <cp:revision>12</cp:revision>
  <dcterms:created xsi:type="dcterms:W3CDTF">2020-03-19T14:13:00Z</dcterms:created>
  <dcterms:modified xsi:type="dcterms:W3CDTF">2024-11-07T12:54:00Z</dcterms:modified>
</cp:coreProperties>
</file>