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DE" w:rsidRDefault="002946DE" w:rsidP="0029637E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  <w:r w:rsidRPr="00826C1F">
        <w:rPr>
          <w:rFonts w:ascii="Cambria" w:hAnsi="Cambria"/>
          <w:b/>
          <w:color w:val="C00000"/>
          <w:sz w:val="28"/>
          <w:szCs w:val="26"/>
        </w:rPr>
        <w:t>Praca z tekstem</w:t>
      </w:r>
      <w:r w:rsidRPr="00192023">
        <w:rPr>
          <w:rFonts w:asciiTheme="majorHAnsi" w:hAnsiTheme="majorHAnsi" w:cs="Times New Roman"/>
          <w:sz w:val="24"/>
          <w:szCs w:val="26"/>
        </w:rPr>
        <w:t xml:space="preserve"> </w:t>
      </w:r>
    </w:p>
    <w:p w:rsidR="00BC0B72" w:rsidRPr="00192023" w:rsidRDefault="00BC0B72" w:rsidP="0029637E">
      <w:pPr>
        <w:spacing w:after="0"/>
        <w:jc w:val="both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 xml:space="preserve">Przeczytaj tekst źródłowy, a następnie </w:t>
      </w:r>
      <w:r w:rsidR="0029637E" w:rsidRPr="00192023">
        <w:rPr>
          <w:rFonts w:asciiTheme="majorHAnsi" w:hAnsiTheme="majorHAnsi"/>
          <w:iCs/>
          <w:sz w:val="24"/>
          <w:szCs w:val="26"/>
        </w:rPr>
        <w:t>w każdym zadaniu</w:t>
      </w:r>
      <w:r w:rsidR="0029637E" w:rsidRPr="00192023">
        <w:rPr>
          <w:rFonts w:asciiTheme="majorHAnsi" w:hAnsiTheme="majorHAnsi" w:cs="Times New Roman"/>
          <w:sz w:val="24"/>
          <w:szCs w:val="26"/>
        </w:rPr>
        <w:t xml:space="preserve"> </w:t>
      </w:r>
      <w:r w:rsidRPr="00192023">
        <w:rPr>
          <w:rFonts w:asciiTheme="majorHAnsi" w:hAnsiTheme="majorHAnsi" w:cs="Times New Roman"/>
          <w:sz w:val="24"/>
          <w:szCs w:val="26"/>
        </w:rPr>
        <w:t>zaznacz poprawną od</w:t>
      </w:r>
      <w:r w:rsidR="0029637E" w:rsidRPr="00192023">
        <w:rPr>
          <w:rFonts w:asciiTheme="majorHAnsi" w:hAnsiTheme="majorHAnsi" w:cs="Times New Roman"/>
          <w:sz w:val="24"/>
          <w:szCs w:val="26"/>
        </w:rPr>
        <w:softHyphen/>
      </w:r>
      <w:r w:rsidRPr="00192023">
        <w:rPr>
          <w:rFonts w:asciiTheme="majorHAnsi" w:hAnsiTheme="majorHAnsi" w:cs="Times New Roman"/>
          <w:sz w:val="24"/>
          <w:szCs w:val="26"/>
        </w:rPr>
        <w:t>po</w:t>
      </w:r>
      <w:r w:rsidR="00192023">
        <w:rPr>
          <w:rFonts w:asciiTheme="majorHAnsi" w:hAnsiTheme="majorHAnsi" w:cs="Times New Roman"/>
          <w:sz w:val="24"/>
          <w:szCs w:val="26"/>
        </w:rPr>
        <w:softHyphen/>
      </w:r>
      <w:r w:rsidRPr="00192023">
        <w:rPr>
          <w:rFonts w:asciiTheme="majorHAnsi" w:hAnsiTheme="majorHAnsi" w:cs="Times New Roman"/>
          <w:sz w:val="24"/>
          <w:szCs w:val="26"/>
        </w:rPr>
        <w:t>wiedź.</w:t>
      </w:r>
    </w:p>
    <w:p w:rsidR="003F1D7E" w:rsidRPr="00192023" w:rsidRDefault="003F1D7E" w:rsidP="002946DE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6"/>
        </w:rPr>
      </w:pPr>
    </w:p>
    <w:p w:rsidR="002946DE" w:rsidRPr="00192023" w:rsidRDefault="002946DE" w:rsidP="002946DE">
      <w:pPr>
        <w:spacing w:after="0"/>
        <w:jc w:val="both"/>
        <w:rPr>
          <w:rFonts w:asciiTheme="majorHAnsi" w:hAnsiTheme="majorHAnsi" w:cs="Times New Roman"/>
          <w:b/>
          <w:sz w:val="24"/>
          <w:szCs w:val="26"/>
        </w:rPr>
      </w:pPr>
      <w:r w:rsidRPr="002946DE">
        <w:rPr>
          <w:rFonts w:asciiTheme="majorHAnsi" w:hAnsiTheme="majorHAnsi" w:cs="Times New Roman"/>
          <w:b/>
          <w:i/>
          <w:sz w:val="24"/>
          <w:szCs w:val="26"/>
        </w:rPr>
        <w:t>Kodeks Napoleona</w:t>
      </w:r>
      <w:r w:rsidRPr="002946DE">
        <w:rPr>
          <w:rFonts w:asciiTheme="majorHAnsi" w:hAnsiTheme="majorHAnsi" w:cs="Times New Roman"/>
          <w:b/>
          <w:sz w:val="24"/>
          <w:szCs w:val="26"/>
        </w:rPr>
        <w:t>, 1804 r.</w:t>
      </w:r>
    </w:p>
    <w:p w:rsidR="00BC0B72" w:rsidRPr="00192023" w:rsidRDefault="00BC0B72" w:rsidP="002946DE">
      <w:pPr>
        <w:pStyle w:val="Tekstpodstawowy"/>
        <w:spacing w:after="60" w:line="360" w:lineRule="exact"/>
        <w:jc w:val="both"/>
        <w:rPr>
          <w:rFonts w:asciiTheme="majorHAnsi" w:hAnsiTheme="majorHAnsi"/>
          <w:i/>
          <w:iCs/>
          <w:szCs w:val="25"/>
        </w:rPr>
      </w:pPr>
      <w:r w:rsidRPr="00192023">
        <w:rPr>
          <w:rFonts w:asciiTheme="majorHAnsi" w:hAnsiTheme="majorHAnsi"/>
          <w:i/>
          <w:iCs/>
          <w:szCs w:val="25"/>
        </w:rPr>
        <w:t>Art. 213. Mąż winien obronę dla żony, a żona posłuszeństwo dla męża.</w:t>
      </w:r>
      <w:r w:rsidR="00C45655" w:rsidRPr="00192023">
        <w:rPr>
          <w:rFonts w:asciiTheme="majorHAnsi" w:hAnsiTheme="majorHAnsi"/>
          <w:i/>
          <w:iCs/>
          <w:szCs w:val="25"/>
        </w:rPr>
        <w:t xml:space="preserve"> (…)</w:t>
      </w:r>
    </w:p>
    <w:p w:rsidR="00BC0B72" w:rsidRPr="00192023" w:rsidRDefault="00BC0B72" w:rsidP="002946DE">
      <w:pPr>
        <w:pStyle w:val="Tekstpodstawowy"/>
        <w:spacing w:after="60" w:line="360" w:lineRule="exact"/>
        <w:jc w:val="both"/>
        <w:rPr>
          <w:rFonts w:asciiTheme="majorHAnsi" w:hAnsiTheme="majorHAnsi"/>
          <w:i/>
          <w:iCs/>
          <w:szCs w:val="25"/>
        </w:rPr>
      </w:pPr>
      <w:r w:rsidRPr="00192023">
        <w:rPr>
          <w:rFonts w:asciiTheme="majorHAnsi" w:hAnsiTheme="majorHAnsi"/>
          <w:i/>
          <w:iCs/>
          <w:szCs w:val="25"/>
        </w:rPr>
        <w:t>Art. 215. Żona stawać w sądzie nie może bez upoważnienia od męża swojego.</w:t>
      </w:r>
      <w:r w:rsidR="00C45655" w:rsidRPr="00192023">
        <w:rPr>
          <w:rFonts w:asciiTheme="majorHAnsi" w:hAnsiTheme="majorHAnsi"/>
          <w:i/>
          <w:iCs/>
          <w:szCs w:val="25"/>
        </w:rPr>
        <w:t xml:space="preserve"> (…)</w:t>
      </w:r>
    </w:p>
    <w:p w:rsidR="00BC0B72" w:rsidRPr="00192023" w:rsidRDefault="00BC0B72" w:rsidP="002946DE">
      <w:pPr>
        <w:pStyle w:val="Tekstpodstawowy"/>
        <w:spacing w:after="60" w:line="360" w:lineRule="exact"/>
        <w:jc w:val="both"/>
        <w:rPr>
          <w:rFonts w:asciiTheme="majorHAnsi" w:hAnsiTheme="majorHAnsi"/>
          <w:i/>
          <w:iCs/>
          <w:szCs w:val="25"/>
        </w:rPr>
      </w:pPr>
      <w:r w:rsidRPr="00192023">
        <w:rPr>
          <w:rFonts w:asciiTheme="majorHAnsi" w:hAnsiTheme="majorHAnsi"/>
          <w:i/>
          <w:iCs/>
          <w:szCs w:val="25"/>
        </w:rPr>
        <w:t>Art. 227. Rozwiązuje się małżeństwo: 1) przez</w:t>
      </w:r>
      <w:r w:rsidR="0029637E" w:rsidRPr="00192023">
        <w:rPr>
          <w:rFonts w:asciiTheme="majorHAnsi" w:hAnsiTheme="majorHAnsi"/>
          <w:i/>
          <w:iCs/>
          <w:szCs w:val="25"/>
        </w:rPr>
        <w:t xml:space="preserve"> śmierć jednego z małżonków, 2) </w:t>
      </w:r>
      <w:r w:rsidRPr="00192023">
        <w:rPr>
          <w:rFonts w:asciiTheme="majorHAnsi" w:hAnsiTheme="majorHAnsi"/>
          <w:i/>
          <w:iCs/>
          <w:szCs w:val="25"/>
        </w:rPr>
        <w:t xml:space="preserve">przez rozwód </w:t>
      </w:r>
      <w:r w:rsidRPr="00192023">
        <w:rPr>
          <w:rFonts w:asciiTheme="majorHAnsi" w:hAnsiTheme="majorHAnsi"/>
          <w:i/>
          <w:iCs/>
          <w:spacing w:val="-2"/>
          <w:szCs w:val="25"/>
        </w:rPr>
        <w:t>prawnie wydany</w:t>
      </w:r>
      <w:r w:rsidR="00C45655" w:rsidRPr="00192023">
        <w:rPr>
          <w:rFonts w:asciiTheme="majorHAnsi" w:hAnsiTheme="majorHAnsi"/>
          <w:i/>
          <w:iCs/>
          <w:spacing w:val="-2"/>
          <w:szCs w:val="25"/>
        </w:rPr>
        <w:t xml:space="preserve"> (…).</w:t>
      </w:r>
    </w:p>
    <w:p w:rsidR="00BC0B72" w:rsidRPr="00192023" w:rsidRDefault="00BC0B72" w:rsidP="002946DE">
      <w:pPr>
        <w:pStyle w:val="Tekstpodstawowy"/>
        <w:spacing w:after="60" w:line="360" w:lineRule="exact"/>
        <w:jc w:val="both"/>
        <w:rPr>
          <w:rFonts w:asciiTheme="majorHAnsi" w:hAnsiTheme="majorHAnsi"/>
          <w:i/>
          <w:iCs/>
          <w:szCs w:val="25"/>
        </w:rPr>
      </w:pPr>
      <w:r w:rsidRPr="00192023">
        <w:rPr>
          <w:rFonts w:asciiTheme="majorHAnsi" w:hAnsiTheme="majorHAnsi"/>
          <w:i/>
          <w:iCs/>
          <w:szCs w:val="25"/>
        </w:rPr>
        <w:t>Art. 371. Dziecię w każdym wieku powinno cześć i uszanowanie ojcu swemu i matce.</w:t>
      </w:r>
    </w:p>
    <w:p w:rsidR="00BC0B72" w:rsidRPr="00192023" w:rsidRDefault="00BC0B72" w:rsidP="002946DE">
      <w:pPr>
        <w:pStyle w:val="Tekstpodstawowy"/>
        <w:spacing w:after="60" w:line="360" w:lineRule="exact"/>
        <w:jc w:val="both"/>
        <w:rPr>
          <w:rFonts w:asciiTheme="majorHAnsi" w:hAnsiTheme="majorHAnsi"/>
          <w:i/>
          <w:iCs/>
          <w:szCs w:val="25"/>
        </w:rPr>
      </w:pPr>
      <w:r w:rsidRPr="00192023">
        <w:rPr>
          <w:rFonts w:asciiTheme="majorHAnsi" w:hAnsiTheme="majorHAnsi"/>
          <w:i/>
          <w:iCs/>
          <w:szCs w:val="25"/>
        </w:rPr>
        <w:t>Art. 372. Zostaje pod ich władzą aż do pełnoletności albo usamowolnienia*.</w:t>
      </w:r>
      <w:r w:rsidR="00C45655" w:rsidRPr="00192023">
        <w:rPr>
          <w:rFonts w:asciiTheme="majorHAnsi" w:hAnsiTheme="majorHAnsi"/>
          <w:i/>
          <w:iCs/>
          <w:szCs w:val="25"/>
        </w:rPr>
        <w:t xml:space="preserve"> (…)</w:t>
      </w:r>
    </w:p>
    <w:p w:rsidR="00BC0B72" w:rsidRPr="00192023" w:rsidRDefault="00BC0B72" w:rsidP="002946DE">
      <w:pPr>
        <w:pStyle w:val="Tekstpodstawowy"/>
        <w:spacing w:after="60" w:line="360" w:lineRule="exact"/>
        <w:jc w:val="both"/>
        <w:rPr>
          <w:rFonts w:asciiTheme="majorHAnsi" w:hAnsiTheme="majorHAnsi"/>
          <w:i/>
          <w:iCs/>
          <w:szCs w:val="25"/>
        </w:rPr>
      </w:pPr>
      <w:r w:rsidRPr="00192023">
        <w:rPr>
          <w:rFonts w:asciiTheme="majorHAnsi" w:hAnsiTheme="majorHAnsi"/>
          <w:i/>
          <w:iCs/>
          <w:szCs w:val="25"/>
        </w:rPr>
        <w:t>Art. 374. Dziecię nie może opuścić ojcowskiego domu bez pozwolenia ojca, oprócz przyjęcia wojskowej służby dobrowolnie, po skończonym osiemnastym roku wieku swego.</w:t>
      </w:r>
      <w:r w:rsidR="00C45655" w:rsidRPr="00192023">
        <w:rPr>
          <w:rFonts w:asciiTheme="majorHAnsi" w:hAnsiTheme="majorHAnsi"/>
          <w:i/>
          <w:iCs/>
          <w:szCs w:val="25"/>
        </w:rPr>
        <w:t xml:space="preserve"> (…)</w:t>
      </w:r>
    </w:p>
    <w:p w:rsidR="00BC0B72" w:rsidRPr="00192023" w:rsidRDefault="00BC0B72" w:rsidP="002946DE">
      <w:pPr>
        <w:pStyle w:val="Tekstpodstawowy"/>
        <w:spacing w:after="60" w:line="360" w:lineRule="exact"/>
        <w:jc w:val="both"/>
        <w:rPr>
          <w:rFonts w:asciiTheme="majorHAnsi" w:hAnsiTheme="majorHAnsi"/>
          <w:i/>
          <w:iCs/>
          <w:szCs w:val="25"/>
        </w:rPr>
      </w:pPr>
      <w:r w:rsidRPr="00192023">
        <w:rPr>
          <w:rFonts w:asciiTheme="majorHAnsi" w:hAnsiTheme="majorHAnsi"/>
          <w:i/>
          <w:iCs/>
          <w:szCs w:val="25"/>
        </w:rPr>
        <w:t>Art. 376. Jeżeli dziecię szesnastu lat nie zaczęło, może go ojciec trzymać</w:t>
      </w:r>
      <w:r w:rsidR="004D3809" w:rsidRPr="00192023">
        <w:rPr>
          <w:rFonts w:asciiTheme="majorHAnsi" w:hAnsiTheme="majorHAnsi"/>
          <w:i/>
          <w:iCs/>
          <w:szCs w:val="25"/>
        </w:rPr>
        <w:t xml:space="preserve"> w </w:t>
      </w:r>
      <w:r w:rsidRPr="00192023">
        <w:rPr>
          <w:rFonts w:asciiTheme="majorHAnsi" w:hAnsiTheme="majorHAnsi"/>
          <w:i/>
          <w:iCs/>
          <w:szCs w:val="25"/>
        </w:rPr>
        <w:t>zamknięciu na czas nie dłuższy n</w:t>
      </w:r>
      <w:r w:rsidR="0029637E" w:rsidRPr="00192023">
        <w:rPr>
          <w:rFonts w:asciiTheme="majorHAnsi" w:hAnsiTheme="majorHAnsi"/>
          <w:i/>
          <w:iCs/>
          <w:szCs w:val="25"/>
        </w:rPr>
        <w:t>ad</w:t>
      </w:r>
      <w:r w:rsidRPr="00192023">
        <w:rPr>
          <w:rFonts w:asciiTheme="majorHAnsi" w:hAnsiTheme="majorHAnsi"/>
          <w:i/>
          <w:iCs/>
          <w:szCs w:val="25"/>
        </w:rPr>
        <w:t xml:space="preserve"> miesiąc</w:t>
      </w:r>
      <w:r w:rsidR="009C5929" w:rsidRPr="00192023">
        <w:rPr>
          <w:rFonts w:asciiTheme="majorHAnsi" w:hAnsiTheme="majorHAnsi"/>
          <w:i/>
          <w:iCs/>
          <w:szCs w:val="25"/>
        </w:rPr>
        <w:t xml:space="preserve"> (...)</w:t>
      </w:r>
      <w:r w:rsidRPr="00192023">
        <w:rPr>
          <w:rFonts w:asciiTheme="majorHAnsi" w:hAnsiTheme="majorHAnsi"/>
          <w:i/>
          <w:iCs/>
          <w:szCs w:val="25"/>
        </w:rPr>
        <w:t>.</w:t>
      </w:r>
      <w:r w:rsidR="00C45655" w:rsidRPr="00192023">
        <w:rPr>
          <w:rFonts w:asciiTheme="majorHAnsi" w:hAnsiTheme="majorHAnsi"/>
          <w:i/>
          <w:iCs/>
          <w:szCs w:val="25"/>
        </w:rPr>
        <w:t xml:space="preserve"> </w:t>
      </w:r>
    </w:p>
    <w:p w:rsidR="002946DE" w:rsidRDefault="002946DE" w:rsidP="002946DE">
      <w:pPr>
        <w:pStyle w:val="Tekstpodstawowy"/>
        <w:spacing w:after="0"/>
        <w:jc w:val="right"/>
        <w:rPr>
          <w:rFonts w:asciiTheme="majorHAnsi" w:hAnsiTheme="majorHAnsi"/>
          <w:i/>
          <w:sz w:val="18"/>
          <w:szCs w:val="26"/>
        </w:rPr>
      </w:pPr>
      <w:r w:rsidRPr="002946DE">
        <w:rPr>
          <w:rFonts w:asciiTheme="majorHAnsi" w:hAnsiTheme="majorHAnsi"/>
          <w:i/>
          <w:sz w:val="18"/>
          <w:szCs w:val="26"/>
        </w:rPr>
        <w:t>Wiek</w:t>
      </w:r>
      <w:r w:rsidRPr="002946DE">
        <w:rPr>
          <w:rFonts w:asciiTheme="majorHAnsi" w:hAnsiTheme="majorHAnsi"/>
          <w:i/>
          <w:sz w:val="18"/>
          <w:szCs w:val="26"/>
        </w:rPr>
        <w:t xml:space="preserve"> </w:t>
      </w:r>
      <w:r w:rsidRPr="002946DE">
        <w:rPr>
          <w:rFonts w:asciiTheme="majorHAnsi" w:hAnsiTheme="majorHAnsi"/>
          <w:i/>
          <w:sz w:val="18"/>
          <w:szCs w:val="26"/>
        </w:rPr>
        <w:t xml:space="preserve">XIX w źródłach. Wybór tekstów źródłowych z propozycjami metodycznymi dla nauczycieli historii, </w:t>
      </w:r>
    </w:p>
    <w:p w:rsidR="002946DE" w:rsidRPr="00192023" w:rsidRDefault="002946DE" w:rsidP="002946DE">
      <w:pPr>
        <w:pStyle w:val="Tekstpodstawowy"/>
        <w:spacing w:after="0"/>
        <w:jc w:val="right"/>
        <w:rPr>
          <w:rFonts w:asciiTheme="majorHAnsi" w:hAnsiTheme="majorHAnsi"/>
          <w:sz w:val="18"/>
          <w:szCs w:val="26"/>
        </w:rPr>
      </w:pPr>
      <w:r w:rsidRPr="002946DE">
        <w:rPr>
          <w:rFonts w:asciiTheme="majorHAnsi" w:hAnsiTheme="majorHAnsi"/>
          <w:i/>
          <w:sz w:val="18"/>
          <w:szCs w:val="26"/>
        </w:rPr>
        <w:t>studentów i uczniów</w:t>
      </w:r>
      <w:r w:rsidRPr="002946DE">
        <w:rPr>
          <w:rFonts w:asciiTheme="majorHAnsi" w:hAnsiTheme="majorHAnsi"/>
          <w:sz w:val="18"/>
          <w:szCs w:val="26"/>
        </w:rPr>
        <w:t>, oprac. M. Sobańska-</w:t>
      </w:r>
      <w:proofErr w:type="spellStart"/>
      <w:r w:rsidRPr="002946DE">
        <w:rPr>
          <w:rFonts w:asciiTheme="majorHAnsi" w:hAnsiTheme="majorHAnsi"/>
          <w:sz w:val="18"/>
          <w:szCs w:val="26"/>
        </w:rPr>
        <w:t>Bondaruk</w:t>
      </w:r>
      <w:proofErr w:type="spellEnd"/>
      <w:r w:rsidRPr="002946DE">
        <w:rPr>
          <w:rFonts w:asciiTheme="majorHAnsi" w:hAnsiTheme="majorHAnsi"/>
          <w:sz w:val="18"/>
          <w:szCs w:val="26"/>
        </w:rPr>
        <w:t>,</w:t>
      </w:r>
      <w:r>
        <w:rPr>
          <w:rFonts w:asciiTheme="majorHAnsi" w:hAnsiTheme="majorHAnsi"/>
          <w:sz w:val="18"/>
          <w:szCs w:val="26"/>
        </w:rPr>
        <w:t xml:space="preserve"> </w:t>
      </w:r>
      <w:r w:rsidRPr="002946DE">
        <w:rPr>
          <w:rFonts w:asciiTheme="majorHAnsi" w:hAnsiTheme="majorHAnsi"/>
          <w:sz w:val="18"/>
          <w:szCs w:val="26"/>
        </w:rPr>
        <w:t xml:space="preserve">S.B. </w:t>
      </w:r>
      <w:proofErr w:type="spellStart"/>
      <w:r w:rsidRPr="002946DE">
        <w:rPr>
          <w:rFonts w:asciiTheme="majorHAnsi" w:hAnsiTheme="majorHAnsi"/>
          <w:sz w:val="18"/>
          <w:szCs w:val="26"/>
        </w:rPr>
        <w:t>Lenard</w:t>
      </w:r>
      <w:proofErr w:type="spellEnd"/>
      <w:r w:rsidRPr="002946DE">
        <w:rPr>
          <w:rFonts w:asciiTheme="majorHAnsi" w:hAnsiTheme="majorHAnsi"/>
          <w:sz w:val="18"/>
          <w:szCs w:val="26"/>
        </w:rPr>
        <w:t>, Warszawa 1998, s. 30–32</w:t>
      </w:r>
      <w:r>
        <w:rPr>
          <w:rFonts w:asciiTheme="majorHAnsi" w:hAnsiTheme="majorHAnsi"/>
          <w:sz w:val="18"/>
          <w:szCs w:val="26"/>
        </w:rPr>
        <w:t>.</w:t>
      </w:r>
    </w:p>
    <w:p w:rsidR="00BC0B72" w:rsidRPr="00192023" w:rsidRDefault="00BC0B72" w:rsidP="002946DE">
      <w:pPr>
        <w:spacing w:before="360" w:after="0" w:line="360" w:lineRule="auto"/>
        <w:rPr>
          <w:rFonts w:asciiTheme="majorHAnsi" w:hAnsiTheme="majorHAnsi" w:cs="Times New Roman"/>
          <w:sz w:val="18"/>
          <w:szCs w:val="26"/>
        </w:rPr>
      </w:pPr>
      <w:r w:rsidRPr="00192023">
        <w:rPr>
          <w:rFonts w:asciiTheme="majorHAnsi" w:hAnsiTheme="majorHAnsi" w:cs="Times New Roman"/>
          <w:b/>
          <w:sz w:val="18"/>
          <w:szCs w:val="26"/>
        </w:rPr>
        <w:t xml:space="preserve">usamowolnienie </w:t>
      </w:r>
      <w:r w:rsidRPr="00192023">
        <w:rPr>
          <w:rFonts w:asciiTheme="majorHAnsi" w:hAnsiTheme="majorHAnsi" w:cs="Times New Roman"/>
          <w:sz w:val="18"/>
          <w:szCs w:val="26"/>
        </w:rPr>
        <w:t>– dawniej: usamodzielnienie</w:t>
      </w:r>
    </w:p>
    <w:p w:rsidR="00BC0B72" w:rsidRPr="00192023" w:rsidRDefault="00BC0B72" w:rsidP="00BC0B72">
      <w:pPr>
        <w:spacing w:after="0" w:line="360" w:lineRule="auto"/>
        <w:rPr>
          <w:rFonts w:asciiTheme="majorHAnsi" w:hAnsiTheme="majorHAnsi" w:cs="Times New Roman"/>
          <w:sz w:val="24"/>
          <w:szCs w:val="26"/>
        </w:rPr>
      </w:pP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b/>
          <w:sz w:val="24"/>
          <w:szCs w:val="26"/>
        </w:rPr>
        <w:t>1.</w:t>
      </w:r>
      <w:r w:rsidR="009C5929" w:rsidRPr="00192023">
        <w:rPr>
          <w:rFonts w:asciiTheme="majorHAnsi" w:hAnsiTheme="majorHAnsi" w:cs="Times New Roman"/>
          <w:b/>
          <w:sz w:val="24"/>
          <w:szCs w:val="26"/>
        </w:rPr>
        <w:t xml:space="preserve"> </w:t>
      </w:r>
      <w:r w:rsidRPr="00192023">
        <w:rPr>
          <w:rFonts w:asciiTheme="majorHAnsi" w:hAnsiTheme="majorHAnsi" w:cs="Times New Roman"/>
          <w:sz w:val="24"/>
          <w:szCs w:val="26"/>
        </w:rPr>
        <w:t>Wymienione w</w:t>
      </w:r>
      <w:r w:rsidR="003F1D7E" w:rsidRPr="00192023">
        <w:rPr>
          <w:rFonts w:asciiTheme="majorHAnsi" w:hAnsiTheme="majorHAnsi" w:cs="Times New Roman"/>
          <w:sz w:val="24"/>
          <w:szCs w:val="26"/>
        </w:rPr>
        <w:t xml:space="preserve"> tekście artykuły są przepisami</w:t>
      </w:r>
      <w:r w:rsidRPr="00192023">
        <w:rPr>
          <w:rFonts w:asciiTheme="majorHAnsi" w:hAnsiTheme="majorHAnsi" w:cs="Times New Roman"/>
          <w:sz w:val="24"/>
          <w:szCs w:val="26"/>
        </w:rPr>
        <w:t xml:space="preserve"> </w:t>
      </w: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>a) prawa karnego</w:t>
      </w:r>
      <w:r w:rsidR="003F1D7E" w:rsidRPr="00192023">
        <w:rPr>
          <w:rFonts w:asciiTheme="majorHAnsi" w:hAnsiTheme="majorHAnsi" w:cs="Times New Roman"/>
          <w:sz w:val="24"/>
          <w:szCs w:val="26"/>
        </w:rPr>
        <w:t>.</w:t>
      </w:r>
      <w:r w:rsidRPr="00192023">
        <w:rPr>
          <w:rFonts w:asciiTheme="majorHAnsi" w:hAnsiTheme="majorHAnsi" w:cs="Times New Roman"/>
          <w:sz w:val="24"/>
          <w:szCs w:val="26"/>
        </w:rPr>
        <w:tab/>
      </w:r>
      <w:r w:rsidRPr="00192023">
        <w:rPr>
          <w:rFonts w:asciiTheme="majorHAnsi" w:hAnsiTheme="majorHAnsi" w:cs="Times New Roman"/>
          <w:sz w:val="24"/>
          <w:szCs w:val="26"/>
        </w:rPr>
        <w:tab/>
      </w:r>
      <w:r w:rsidRPr="00192023">
        <w:rPr>
          <w:rFonts w:asciiTheme="majorHAnsi" w:hAnsiTheme="majorHAnsi" w:cs="Times New Roman"/>
          <w:sz w:val="24"/>
          <w:szCs w:val="26"/>
        </w:rPr>
        <w:tab/>
      </w:r>
      <w:r w:rsidRPr="00192023">
        <w:rPr>
          <w:rFonts w:asciiTheme="majorHAnsi" w:hAnsiTheme="majorHAnsi" w:cs="Times New Roman"/>
          <w:sz w:val="24"/>
          <w:szCs w:val="26"/>
        </w:rPr>
        <w:tab/>
      </w:r>
      <w:r w:rsidR="00C47C44" w:rsidRPr="00192023">
        <w:rPr>
          <w:rFonts w:asciiTheme="majorHAnsi" w:hAnsiTheme="majorHAnsi" w:cs="Times New Roman"/>
          <w:sz w:val="24"/>
          <w:szCs w:val="26"/>
        </w:rPr>
        <w:t>c) prawa finansowego.</w:t>
      </w:r>
    </w:p>
    <w:p w:rsidR="00BC0B72" w:rsidRPr="00192023" w:rsidRDefault="00C47C44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>b) prawa cywilnego.</w:t>
      </w:r>
      <w:r w:rsidR="004D3809" w:rsidRPr="00192023">
        <w:rPr>
          <w:rFonts w:asciiTheme="majorHAnsi" w:hAnsiTheme="majorHAnsi" w:cs="Times New Roman"/>
          <w:sz w:val="24"/>
          <w:szCs w:val="26"/>
        </w:rPr>
        <w:tab/>
      </w:r>
      <w:r w:rsidR="004D3809" w:rsidRPr="00192023">
        <w:rPr>
          <w:rFonts w:asciiTheme="majorHAnsi" w:hAnsiTheme="majorHAnsi" w:cs="Times New Roman"/>
          <w:sz w:val="24"/>
          <w:szCs w:val="26"/>
        </w:rPr>
        <w:tab/>
      </w:r>
      <w:r w:rsidR="00BC0B72" w:rsidRPr="00192023">
        <w:rPr>
          <w:rFonts w:asciiTheme="majorHAnsi" w:hAnsiTheme="majorHAnsi" w:cs="Times New Roman"/>
          <w:sz w:val="24"/>
          <w:szCs w:val="26"/>
        </w:rPr>
        <w:tab/>
      </w:r>
      <w:r w:rsidR="00192023">
        <w:rPr>
          <w:rFonts w:asciiTheme="majorHAnsi" w:hAnsiTheme="majorHAnsi" w:cs="Times New Roman"/>
          <w:sz w:val="24"/>
          <w:szCs w:val="26"/>
        </w:rPr>
        <w:tab/>
      </w:r>
      <w:r w:rsidR="00BC0B72" w:rsidRPr="00192023">
        <w:rPr>
          <w:rFonts w:asciiTheme="majorHAnsi" w:hAnsiTheme="majorHAnsi" w:cs="Times New Roman"/>
          <w:sz w:val="24"/>
          <w:szCs w:val="26"/>
        </w:rPr>
        <w:t>d) prawa międzynarodowego</w:t>
      </w:r>
      <w:r w:rsidR="003F1D7E" w:rsidRPr="00192023">
        <w:rPr>
          <w:rFonts w:asciiTheme="majorHAnsi" w:hAnsiTheme="majorHAnsi" w:cs="Times New Roman"/>
          <w:sz w:val="24"/>
          <w:szCs w:val="26"/>
        </w:rPr>
        <w:t>.</w:t>
      </w:r>
    </w:p>
    <w:p w:rsidR="003F1D7E" w:rsidRPr="00192023" w:rsidRDefault="003F1D7E" w:rsidP="00BC0B72">
      <w:pPr>
        <w:spacing w:after="0" w:line="360" w:lineRule="auto"/>
        <w:rPr>
          <w:rFonts w:asciiTheme="majorHAnsi" w:hAnsiTheme="majorHAnsi" w:cs="Times New Roman"/>
          <w:sz w:val="24"/>
          <w:szCs w:val="26"/>
        </w:rPr>
      </w:pP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b/>
          <w:sz w:val="24"/>
          <w:szCs w:val="26"/>
        </w:rPr>
        <w:t>2.</w:t>
      </w:r>
      <w:r w:rsidRPr="00192023">
        <w:rPr>
          <w:rFonts w:asciiTheme="majorHAnsi" w:hAnsiTheme="majorHAnsi" w:cs="Times New Roman"/>
          <w:sz w:val="24"/>
          <w:szCs w:val="26"/>
        </w:rPr>
        <w:t xml:space="preserve"> Która z okoliczności </w:t>
      </w:r>
      <w:r w:rsidR="00C45655" w:rsidRPr="00192023">
        <w:rPr>
          <w:rFonts w:asciiTheme="majorHAnsi" w:hAnsiTheme="majorHAnsi" w:cs="Times New Roman"/>
          <w:b/>
          <w:sz w:val="24"/>
          <w:szCs w:val="26"/>
        </w:rPr>
        <w:t xml:space="preserve">nie </w:t>
      </w:r>
      <w:r w:rsidR="009C5929" w:rsidRPr="00192023">
        <w:rPr>
          <w:rFonts w:asciiTheme="majorHAnsi" w:hAnsiTheme="majorHAnsi" w:cs="Times New Roman"/>
          <w:b/>
          <w:sz w:val="24"/>
          <w:szCs w:val="26"/>
        </w:rPr>
        <w:t>uzasadniała</w:t>
      </w:r>
      <w:r w:rsidRPr="00192023">
        <w:rPr>
          <w:rFonts w:asciiTheme="majorHAnsi" w:hAnsiTheme="majorHAnsi" w:cs="Times New Roman"/>
          <w:b/>
          <w:sz w:val="24"/>
          <w:szCs w:val="26"/>
        </w:rPr>
        <w:t xml:space="preserve"> </w:t>
      </w:r>
      <w:r w:rsidRPr="00192023">
        <w:rPr>
          <w:rFonts w:asciiTheme="majorHAnsi" w:hAnsiTheme="majorHAnsi" w:cs="Times New Roman"/>
          <w:sz w:val="24"/>
          <w:szCs w:val="26"/>
        </w:rPr>
        <w:t>rozwiązania małżeństwa?</w:t>
      </w: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 xml:space="preserve">a) </w:t>
      </w:r>
      <w:r w:rsidR="009C5929" w:rsidRPr="00192023">
        <w:rPr>
          <w:rFonts w:asciiTheme="majorHAnsi" w:hAnsiTheme="majorHAnsi" w:cs="Times New Roman"/>
          <w:sz w:val="24"/>
          <w:szCs w:val="26"/>
        </w:rPr>
        <w:t>Ś</w:t>
      </w:r>
      <w:r w:rsidRPr="00192023">
        <w:rPr>
          <w:rFonts w:asciiTheme="majorHAnsi" w:hAnsiTheme="majorHAnsi" w:cs="Times New Roman"/>
          <w:sz w:val="24"/>
          <w:szCs w:val="26"/>
        </w:rPr>
        <w:t>mierć jednego z małżonków</w:t>
      </w:r>
      <w:r w:rsidR="009C5929" w:rsidRPr="00192023">
        <w:rPr>
          <w:rFonts w:asciiTheme="majorHAnsi" w:hAnsiTheme="majorHAnsi" w:cs="Times New Roman"/>
          <w:sz w:val="24"/>
          <w:szCs w:val="26"/>
        </w:rPr>
        <w:t>.</w:t>
      </w: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 xml:space="preserve">b) </w:t>
      </w:r>
      <w:r w:rsidR="009C5929" w:rsidRPr="00192023">
        <w:rPr>
          <w:rFonts w:asciiTheme="majorHAnsi" w:hAnsiTheme="majorHAnsi" w:cs="Times New Roman"/>
          <w:sz w:val="24"/>
          <w:szCs w:val="26"/>
        </w:rPr>
        <w:t>R</w:t>
      </w:r>
      <w:r w:rsidRPr="00192023">
        <w:rPr>
          <w:rFonts w:asciiTheme="majorHAnsi" w:hAnsiTheme="majorHAnsi" w:cs="Times New Roman"/>
          <w:sz w:val="24"/>
          <w:szCs w:val="26"/>
        </w:rPr>
        <w:t>ozwód wydany na mocy prawa</w:t>
      </w:r>
      <w:r w:rsidR="009C5929" w:rsidRPr="00192023">
        <w:rPr>
          <w:rFonts w:asciiTheme="majorHAnsi" w:hAnsiTheme="majorHAnsi" w:cs="Times New Roman"/>
          <w:sz w:val="24"/>
          <w:szCs w:val="26"/>
        </w:rPr>
        <w:t>.</w:t>
      </w: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 xml:space="preserve">c) </w:t>
      </w:r>
      <w:r w:rsidR="009C5929" w:rsidRPr="00192023">
        <w:rPr>
          <w:rFonts w:asciiTheme="majorHAnsi" w:hAnsiTheme="majorHAnsi" w:cs="Times New Roman"/>
          <w:sz w:val="24"/>
          <w:szCs w:val="26"/>
        </w:rPr>
        <w:t>S</w:t>
      </w:r>
      <w:r w:rsidRPr="00192023">
        <w:rPr>
          <w:rFonts w:asciiTheme="majorHAnsi" w:hAnsiTheme="majorHAnsi" w:cs="Times New Roman"/>
          <w:sz w:val="24"/>
          <w:szCs w:val="26"/>
        </w:rPr>
        <w:t>tawienie się żony w sądzie bez upoważnienia od męża</w:t>
      </w:r>
      <w:r w:rsidR="009C5929" w:rsidRPr="00192023">
        <w:rPr>
          <w:rFonts w:asciiTheme="majorHAnsi" w:hAnsiTheme="majorHAnsi" w:cs="Times New Roman"/>
          <w:sz w:val="24"/>
          <w:szCs w:val="26"/>
        </w:rPr>
        <w:t>.</w:t>
      </w:r>
      <w:r w:rsidRPr="00192023">
        <w:rPr>
          <w:rFonts w:asciiTheme="majorHAnsi" w:hAnsiTheme="majorHAnsi" w:cs="Times New Roman"/>
          <w:sz w:val="24"/>
          <w:szCs w:val="26"/>
        </w:rPr>
        <w:t xml:space="preserve"> </w:t>
      </w:r>
    </w:p>
    <w:p w:rsidR="009252F5" w:rsidRPr="00192023" w:rsidRDefault="009252F5" w:rsidP="00BC0B72">
      <w:pPr>
        <w:spacing w:after="0" w:line="360" w:lineRule="auto"/>
        <w:rPr>
          <w:rFonts w:asciiTheme="majorHAnsi" w:hAnsiTheme="majorHAnsi" w:cs="Times New Roman"/>
          <w:sz w:val="24"/>
          <w:szCs w:val="26"/>
        </w:rPr>
      </w:pP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b/>
          <w:sz w:val="24"/>
          <w:szCs w:val="26"/>
        </w:rPr>
        <w:t>3.</w:t>
      </w:r>
      <w:r w:rsidRPr="00192023">
        <w:rPr>
          <w:rFonts w:asciiTheme="majorHAnsi" w:hAnsiTheme="majorHAnsi" w:cs="Times New Roman"/>
          <w:sz w:val="24"/>
          <w:szCs w:val="26"/>
        </w:rPr>
        <w:t xml:space="preserve"> W jakim wypadku dziecko mogło opuścić dom ojca bez jego pozwolenia?</w:t>
      </w:r>
    </w:p>
    <w:p w:rsidR="00BC0B72" w:rsidRPr="00192023" w:rsidRDefault="003F1D7E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>a) N</w:t>
      </w:r>
      <w:r w:rsidR="00BC0B72" w:rsidRPr="00192023">
        <w:rPr>
          <w:rFonts w:asciiTheme="majorHAnsi" w:hAnsiTheme="majorHAnsi" w:cs="Times New Roman"/>
          <w:sz w:val="24"/>
          <w:szCs w:val="26"/>
        </w:rPr>
        <w:t>ie było takiej możliwości</w:t>
      </w:r>
      <w:r w:rsidRPr="00192023">
        <w:rPr>
          <w:rFonts w:asciiTheme="majorHAnsi" w:hAnsiTheme="majorHAnsi" w:cs="Times New Roman"/>
          <w:sz w:val="24"/>
          <w:szCs w:val="26"/>
        </w:rPr>
        <w:t>.</w:t>
      </w:r>
    </w:p>
    <w:p w:rsidR="00BC0B72" w:rsidRPr="00192023" w:rsidRDefault="00C47C44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 xml:space="preserve">b) </w:t>
      </w:r>
      <w:r w:rsidR="00004653" w:rsidRPr="00192023">
        <w:rPr>
          <w:rFonts w:asciiTheme="majorHAnsi" w:hAnsiTheme="majorHAnsi" w:cs="Times New Roman"/>
          <w:sz w:val="24"/>
          <w:szCs w:val="26"/>
        </w:rPr>
        <w:t>P</w:t>
      </w:r>
      <w:r w:rsidR="00BC0B72" w:rsidRPr="00192023">
        <w:rPr>
          <w:rFonts w:asciiTheme="majorHAnsi" w:hAnsiTheme="majorHAnsi" w:cs="Times New Roman"/>
          <w:sz w:val="24"/>
          <w:szCs w:val="26"/>
        </w:rPr>
        <w:t>o ukończeniu szesnastego roku życia</w:t>
      </w:r>
      <w:r w:rsidR="009C5929" w:rsidRPr="00192023">
        <w:rPr>
          <w:rFonts w:asciiTheme="majorHAnsi" w:hAnsiTheme="majorHAnsi" w:cs="Times New Roman"/>
          <w:sz w:val="24"/>
          <w:szCs w:val="26"/>
        </w:rPr>
        <w:t>.</w:t>
      </w:r>
    </w:p>
    <w:p w:rsidR="00BC0B72" w:rsidRPr="00192023" w:rsidRDefault="00492C77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>c</w:t>
      </w:r>
      <w:r w:rsidR="003F1D7E" w:rsidRPr="00192023">
        <w:rPr>
          <w:rFonts w:asciiTheme="majorHAnsi" w:hAnsiTheme="majorHAnsi" w:cs="Times New Roman"/>
          <w:sz w:val="24"/>
          <w:szCs w:val="26"/>
        </w:rPr>
        <w:t>) G</w:t>
      </w:r>
      <w:r w:rsidR="00BC0B72" w:rsidRPr="00192023">
        <w:rPr>
          <w:rFonts w:asciiTheme="majorHAnsi" w:hAnsiTheme="majorHAnsi" w:cs="Times New Roman"/>
          <w:sz w:val="24"/>
          <w:szCs w:val="26"/>
        </w:rPr>
        <w:t>dy zostało zamknięte przez ojca na miesiąc</w:t>
      </w:r>
      <w:r w:rsidR="003F1D7E" w:rsidRPr="00192023">
        <w:rPr>
          <w:rFonts w:asciiTheme="majorHAnsi" w:hAnsiTheme="majorHAnsi" w:cs="Times New Roman"/>
          <w:sz w:val="24"/>
          <w:szCs w:val="26"/>
        </w:rPr>
        <w:t>.</w:t>
      </w:r>
    </w:p>
    <w:p w:rsidR="00492C77" w:rsidRPr="00192023" w:rsidRDefault="003F1D7E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</w:rPr>
        <w:t>d) G</w:t>
      </w:r>
      <w:r w:rsidR="00492C77" w:rsidRPr="00192023">
        <w:rPr>
          <w:rFonts w:asciiTheme="majorHAnsi" w:hAnsiTheme="majorHAnsi" w:cs="Times New Roman"/>
          <w:sz w:val="24"/>
          <w:szCs w:val="26"/>
        </w:rPr>
        <w:t>dy zdecydowało się na służbę w wojsku po ukończeniu osiemnastego roku życia</w:t>
      </w:r>
      <w:r w:rsidRPr="00192023">
        <w:rPr>
          <w:rFonts w:asciiTheme="majorHAnsi" w:hAnsiTheme="majorHAnsi" w:cs="Times New Roman"/>
          <w:sz w:val="24"/>
          <w:szCs w:val="26"/>
        </w:rPr>
        <w:t>.</w:t>
      </w:r>
    </w:p>
    <w:p w:rsidR="00C47C44" w:rsidRPr="00192023" w:rsidRDefault="00C47C44" w:rsidP="00BC0B72">
      <w:pPr>
        <w:spacing w:after="0" w:line="360" w:lineRule="auto"/>
        <w:rPr>
          <w:rFonts w:asciiTheme="majorHAnsi" w:hAnsiTheme="majorHAnsi" w:cs="Times New Roman"/>
          <w:sz w:val="24"/>
          <w:szCs w:val="26"/>
        </w:rPr>
      </w:pP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b/>
          <w:sz w:val="24"/>
          <w:szCs w:val="26"/>
        </w:rPr>
        <w:t>4.</w:t>
      </w:r>
      <w:r w:rsidRPr="00192023">
        <w:rPr>
          <w:rFonts w:asciiTheme="majorHAnsi" w:hAnsiTheme="majorHAnsi" w:cs="Times New Roman"/>
          <w:sz w:val="24"/>
          <w:szCs w:val="26"/>
        </w:rPr>
        <w:t xml:space="preserve"> Który z artykułów określa pozycję żony w małżeństwie?</w:t>
      </w:r>
    </w:p>
    <w:p w:rsidR="00BC0B72" w:rsidRPr="00192023" w:rsidRDefault="00BC0B72" w:rsidP="00BE73CA">
      <w:pPr>
        <w:spacing w:after="80"/>
        <w:rPr>
          <w:rFonts w:asciiTheme="majorHAnsi" w:hAnsiTheme="majorHAnsi" w:cs="Times New Roman"/>
          <w:sz w:val="24"/>
          <w:szCs w:val="26"/>
        </w:rPr>
      </w:pPr>
      <w:r w:rsidRPr="00192023">
        <w:rPr>
          <w:rFonts w:asciiTheme="majorHAnsi" w:hAnsiTheme="majorHAnsi" w:cs="Times New Roman"/>
          <w:sz w:val="24"/>
          <w:szCs w:val="26"/>
          <w:lang w:val="en-US"/>
        </w:rPr>
        <w:t>a</w:t>
      </w:r>
      <w:r w:rsidR="00C45655" w:rsidRPr="00192023">
        <w:rPr>
          <w:rFonts w:asciiTheme="majorHAnsi" w:hAnsiTheme="majorHAnsi" w:cs="Times New Roman"/>
          <w:sz w:val="24"/>
          <w:szCs w:val="26"/>
          <w:lang w:val="en-US"/>
        </w:rPr>
        <w:t xml:space="preserve">) </w:t>
      </w:r>
      <w:r w:rsidR="009C5929" w:rsidRPr="00192023">
        <w:rPr>
          <w:rFonts w:asciiTheme="majorHAnsi" w:hAnsiTheme="majorHAnsi" w:cs="Times New Roman"/>
          <w:sz w:val="24"/>
          <w:szCs w:val="26"/>
          <w:lang w:val="en-US"/>
        </w:rPr>
        <w:t>A</w:t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 xml:space="preserve">rt. </w:t>
      </w:r>
      <w:r w:rsidR="00C45655" w:rsidRPr="00192023">
        <w:rPr>
          <w:rFonts w:asciiTheme="majorHAnsi" w:hAnsiTheme="majorHAnsi" w:cs="Times New Roman"/>
          <w:sz w:val="24"/>
          <w:szCs w:val="26"/>
          <w:lang w:val="en-US"/>
        </w:rPr>
        <w:t>213</w:t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>.</w:t>
      </w:r>
      <w:r w:rsidR="00C47C44" w:rsidRPr="00192023">
        <w:rPr>
          <w:rFonts w:asciiTheme="majorHAnsi" w:hAnsiTheme="majorHAnsi" w:cs="Times New Roman"/>
          <w:sz w:val="24"/>
          <w:szCs w:val="26"/>
          <w:lang w:val="en-US"/>
        </w:rPr>
        <w:tab/>
      </w:r>
      <w:r w:rsidR="00C47C44" w:rsidRPr="00192023">
        <w:rPr>
          <w:rFonts w:asciiTheme="majorHAnsi" w:hAnsiTheme="majorHAnsi" w:cs="Times New Roman"/>
          <w:sz w:val="24"/>
          <w:szCs w:val="26"/>
          <w:lang w:val="en-US"/>
        </w:rPr>
        <w:tab/>
      </w:r>
      <w:r w:rsidR="00C45655" w:rsidRPr="00192023">
        <w:rPr>
          <w:rFonts w:asciiTheme="majorHAnsi" w:hAnsiTheme="majorHAnsi" w:cs="Times New Roman"/>
          <w:sz w:val="24"/>
          <w:szCs w:val="26"/>
          <w:lang w:val="en-US"/>
        </w:rPr>
        <w:t xml:space="preserve">b) </w:t>
      </w:r>
      <w:r w:rsidR="009C5929" w:rsidRPr="00192023">
        <w:rPr>
          <w:rFonts w:asciiTheme="majorHAnsi" w:hAnsiTheme="majorHAnsi" w:cs="Times New Roman"/>
          <w:sz w:val="24"/>
          <w:szCs w:val="26"/>
          <w:lang w:val="en-US"/>
        </w:rPr>
        <w:t>A</w:t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 xml:space="preserve">rt. </w:t>
      </w:r>
      <w:r w:rsidR="00C45655" w:rsidRPr="00192023">
        <w:rPr>
          <w:rFonts w:asciiTheme="majorHAnsi" w:hAnsiTheme="majorHAnsi" w:cs="Times New Roman"/>
          <w:sz w:val="24"/>
          <w:szCs w:val="26"/>
          <w:lang w:val="en-US"/>
        </w:rPr>
        <w:t>227</w:t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>.</w:t>
      </w:r>
      <w:r w:rsidR="00C47C44" w:rsidRPr="00192023">
        <w:rPr>
          <w:rFonts w:asciiTheme="majorHAnsi" w:hAnsiTheme="majorHAnsi" w:cs="Times New Roman"/>
          <w:sz w:val="24"/>
          <w:szCs w:val="26"/>
          <w:lang w:val="en-US"/>
        </w:rPr>
        <w:tab/>
      </w:r>
      <w:r w:rsidR="00C47C44" w:rsidRPr="00192023">
        <w:rPr>
          <w:rFonts w:asciiTheme="majorHAnsi" w:hAnsiTheme="majorHAnsi" w:cs="Times New Roman"/>
          <w:sz w:val="24"/>
          <w:szCs w:val="26"/>
          <w:lang w:val="en-US"/>
        </w:rPr>
        <w:tab/>
      </w:r>
      <w:r w:rsidR="00C45655" w:rsidRPr="00192023">
        <w:rPr>
          <w:rFonts w:asciiTheme="majorHAnsi" w:hAnsiTheme="majorHAnsi" w:cs="Times New Roman"/>
          <w:sz w:val="24"/>
          <w:szCs w:val="26"/>
          <w:lang w:val="en-US"/>
        </w:rPr>
        <w:t xml:space="preserve">c) </w:t>
      </w:r>
      <w:r w:rsidR="009C5929" w:rsidRPr="00192023">
        <w:rPr>
          <w:rFonts w:asciiTheme="majorHAnsi" w:hAnsiTheme="majorHAnsi" w:cs="Times New Roman"/>
          <w:sz w:val="24"/>
          <w:szCs w:val="26"/>
          <w:lang w:val="en-US"/>
        </w:rPr>
        <w:t>A</w:t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 xml:space="preserve">rt. </w:t>
      </w:r>
      <w:r w:rsidR="00C45655" w:rsidRPr="00192023">
        <w:rPr>
          <w:rFonts w:asciiTheme="majorHAnsi" w:hAnsiTheme="majorHAnsi" w:cs="Times New Roman"/>
          <w:sz w:val="24"/>
          <w:szCs w:val="26"/>
          <w:lang w:val="en-US"/>
        </w:rPr>
        <w:t>371</w:t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>.</w:t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ab/>
      </w:r>
      <w:r w:rsidR="003F1D7E" w:rsidRPr="00192023">
        <w:rPr>
          <w:rFonts w:asciiTheme="majorHAnsi" w:hAnsiTheme="majorHAnsi" w:cs="Times New Roman"/>
          <w:sz w:val="24"/>
          <w:szCs w:val="26"/>
          <w:lang w:val="en-US"/>
        </w:rPr>
        <w:tab/>
      </w:r>
      <w:r w:rsidR="00C45655" w:rsidRPr="00192023">
        <w:rPr>
          <w:rFonts w:asciiTheme="majorHAnsi" w:hAnsiTheme="majorHAnsi" w:cs="Times New Roman"/>
          <w:sz w:val="24"/>
          <w:szCs w:val="26"/>
        </w:rPr>
        <w:t xml:space="preserve">d) </w:t>
      </w:r>
      <w:r w:rsidR="009C5929" w:rsidRPr="00192023">
        <w:rPr>
          <w:rFonts w:asciiTheme="majorHAnsi" w:hAnsiTheme="majorHAnsi" w:cs="Times New Roman"/>
          <w:sz w:val="24"/>
          <w:szCs w:val="26"/>
        </w:rPr>
        <w:t>A</w:t>
      </w:r>
      <w:r w:rsidR="003F1D7E" w:rsidRPr="00192023">
        <w:rPr>
          <w:rFonts w:asciiTheme="majorHAnsi" w:hAnsiTheme="majorHAnsi" w:cs="Times New Roman"/>
          <w:sz w:val="24"/>
          <w:szCs w:val="26"/>
        </w:rPr>
        <w:t xml:space="preserve">rt. </w:t>
      </w:r>
      <w:r w:rsidR="00C45655" w:rsidRPr="00192023">
        <w:rPr>
          <w:rFonts w:asciiTheme="majorHAnsi" w:hAnsiTheme="majorHAnsi" w:cs="Times New Roman"/>
          <w:sz w:val="24"/>
          <w:szCs w:val="26"/>
        </w:rPr>
        <w:t>374</w:t>
      </w:r>
      <w:r w:rsidR="003F1D7E" w:rsidRPr="00192023">
        <w:rPr>
          <w:rFonts w:asciiTheme="majorHAnsi" w:hAnsiTheme="majorHAnsi" w:cs="Times New Roman"/>
          <w:sz w:val="24"/>
          <w:szCs w:val="26"/>
        </w:rPr>
        <w:t>.</w:t>
      </w:r>
    </w:p>
    <w:p w:rsidR="002946DE" w:rsidRPr="00826C1F" w:rsidRDefault="002946DE" w:rsidP="002946DE">
      <w:pPr>
        <w:spacing w:after="360" w:line="259" w:lineRule="auto"/>
        <w:rPr>
          <w:rFonts w:ascii="Cambria" w:hAnsi="Cambria"/>
          <w:b/>
          <w:sz w:val="28"/>
          <w:szCs w:val="32"/>
        </w:rPr>
      </w:pPr>
      <w:r w:rsidRPr="00826C1F">
        <w:rPr>
          <w:rFonts w:ascii="Cambria" w:hAnsi="Cambria"/>
          <w:b/>
          <w:color w:val="C00000"/>
          <w:sz w:val="28"/>
          <w:szCs w:val="32"/>
        </w:rPr>
        <w:lastRenderedPageBreak/>
        <w:t>Klucz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2"/>
        <w:gridCol w:w="1678"/>
      </w:tblGrid>
      <w:tr w:rsidR="002946DE" w:rsidRPr="00826C1F" w:rsidTr="00EF177B">
        <w:tc>
          <w:tcPr>
            <w:tcW w:w="1152" w:type="dxa"/>
            <w:vAlign w:val="center"/>
          </w:tcPr>
          <w:p w:rsidR="002946DE" w:rsidRPr="00826C1F" w:rsidRDefault="002946DE" w:rsidP="00EF177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826C1F">
              <w:rPr>
                <w:rFonts w:ascii="Cambria" w:hAnsi="Cambria"/>
                <w:b/>
                <w:sz w:val="24"/>
                <w:szCs w:val="26"/>
              </w:rPr>
              <w:t>Nr zadania</w:t>
            </w:r>
          </w:p>
        </w:tc>
        <w:tc>
          <w:tcPr>
            <w:tcW w:w="1678" w:type="dxa"/>
            <w:vAlign w:val="center"/>
          </w:tcPr>
          <w:p w:rsidR="002946DE" w:rsidRPr="00826C1F" w:rsidRDefault="002946DE" w:rsidP="00EF177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6"/>
              </w:rPr>
            </w:pPr>
            <w:r w:rsidRPr="00826C1F">
              <w:rPr>
                <w:rFonts w:ascii="Cambria" w:hAnsi="Cambria"/>
                <w:b/>
                <w:sz w:val="24"/>
                <w:szCs w:val="26"/>
              </w:rPr>
              <w:t>Odpowiedź</w:t>
            </w:r>
          </w:p>
        </w:tc>
      </w:tr>
      <w:tr w:rsidR="002946DE" w:rsidRPr="00826C1F" w:rsidTr="00EF177B">
        <w:tc>
          <w:tcPr>
            <w:tcW w:w="1152" w:type="dxa"/>
          </w:tcPr>
          <w:p w:rsidR="002946DE" w:rsidRPr="00826C1F" w:rsidRDefault="002946D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1.</w:t>
            </w:r>
          </w:p>
        </w:tc>
        <w:tc>
          <w:tcPr>
            <w:tcW w:w="1678" w:type="dxa"/>
          </w:tcPr>
          <w:p w:rsidR="002946DE" w:rsidRPr="00826C1F" w:rsidRDefault="002946D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b</w:t>
            </w:r>
            <w:r w:rsidRPr="00826C1F">
              <w:rPr>
                <w:rFonts w:ascii="Cambria" w:hAnsi="Cambria"/>
                <w:sz w:val="24"/>
                <w:szCs w:val="26"/>
              </w:rPr>
              <w:t>)</w:t>
            </w:r>
          </w:p>
        </w:tc>
      </w:tr>
      <w:tr w:rsidR="002946DE" w:rsidRPr="00826C1F" w:rsidTr="00EF177B">
        <w:tc>
          <w:tcPr>
            <w:tcW w:w="1152" w:type="dxa"/>
          </w:tcPr>
          <w:p w:rsidR="002946DE" w:rsidRPr="00826C1F" w:rsidRDefault="002946D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2.</w:t>
            </w:r>
          </w:p>
        </w:tc>
        <w:tc>
          <w:tcPr>
            <w:tcW w:w="1678" w:type="dxa"/>
          </w:tcPr>
          <w:p w:rsidR="002946DE" w:rsidRPr="00826C1F" w:rsidRDefault="002946D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c</w:t>
            </w:r>
            <w:r w:rsidRPr="00826C1F">
              <w:rPr>
                <w:rFonts w:ascii="Cambria" w:hAnsi="Cambria"/>
                <w:sz w:val="24"/>
                <w:szCs w:val="26"/>
              </w:rPr>
              <w:t>)</w:t>
            </w:r>
          </w:p>
        </w:tc>
      </w:tr>
      <w:tr w:rsidR="002946DE" w:rsidRPr="00826C1F" w:rsidTr="00EF177B">
        <w:tc>
          <w:tcPr>
            <w:tcW w:w="1152" w:type="dxa"/>
          </w:tcPr>
          <w:p w:rsidR="002946DE" w:rsidRPr="00826C1F" w:rsidRDefault="002946D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3.</w:t>
            </w:r>
          </w:p>
        </w:tc>
        <w:tc>
          <w:tcPr>
            <w:tcW w:w="1678" w:type="dxa"/>
          </w:tcPr>
          <w:p w:rsidR="002946DE" w:rsidRPr="00826C1F" w:rsidRDefault="002946D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 w:rsidRPr="00826C1F">
              <w:rPr>
                <w:rFonts w:ascii="Cambria" w:hAnsi="Cambria"/>
                <w:sz w:val="24"/>
                <w:szCs w:val="26"/>
              </w:rPr>
              <w:t>d)</w:t>
            </w:r>
          </w:p>
        </w:tc>
      </w:tr>
      <w:tr w:rsidR="002946DE" w:rsidRPr="00826C1F" w:rsidTr="00EF177B">
        <w:tc>
          <w:tcPr>
            <w:tcW w:w="1152" w:type="dxa"/>
          </w:tcPr>
          <w:p w:rsidR="002946DE" w:rsidRPr="00826C1F" w:rsidRDefault="002946DE" w:rsidP="00EF177B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4.</w:t>
            </w:r>
          </w:p>
        </w:tc>
        <w:tc>
          <w:tcPr>
            <w:tcW w:w="1678" w:type="dxa"/>
          </w:tcPr>
          <w:p w:rsidR="002946DE" w:rsidRPr="00826C1F" w:rsidRDefault="002946DE" w:rsidP="00EF177B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6"/>
              </w:rPr>
            </w:pPr>
            <w:r>
              <w:rPr>
                <w:rFonts w:asciiTheme="majorHAnsi" w:hAnsiTheme="majorHAnsi"/>
                <w:iCs/>
                <w:sz w:val="24"/>
                <w:szCs w:val="26"/>
              </w:rPr>
              <w:t>a</w:t>
            </w:r>
            <w:r w:rsidRPr="00F536CC">
              <w:rPr>
                <w:rFonts w:asciiTheme="majorHAnsi" w:hAnsiTheme="majorHAnsi"/>
                <w:iCs/>
                <w:sz w:val="24"/>
                <w:szCs w:val="26"/>
              </w:rPr>
              <w:t>)</w:t>
            </w:r>
          </w:p>
        </w:tc>
      </w:tr>
    </w:tbl>
    <w:p w:rsidR="00C45655" w:rsidRPr="00192023" w:rsidRDefault="00C45655">
      <w:pPr>
        <w:rPr>
          <w:rFonts w:asciiTheme="majorHAnsi" w:hAnsiTheme="majorHAnsi"/>
          <w:sz w:val="24"/>
          <w:szCs w:val="26"/>
        </w:rPr>
      </w:pPr>
      <w:bookmarkStart w:id="0" w:name="_GoBack"/>
      <w:bookmarkEnd w:id="0"/>
    </w:p>
    <w:sectPr w:rsidR="00C45655" w:rsidRPr="00192023" w:rsidSect="00BC0B7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DE" w:rsidRDefault="002946DE" w:rsidP="002946DE">
      <w:pPr>
        <w:spacing w:after="0" w:line="240" w:lineRule="auto"/>
      </w:pPr>
      <w:r>
        <w:separator/>
      </w:r>
    </w:p>
  </w:endnote>
  <w:endnote w:type="continuationSeparator" w:id="0">
    <w:p w:rsidR="002946DE" w:rsidRDefault="002946DE" w:rsidP="0029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3429635"/>
      <w:docPartObj>
        <w:docPartGallery w:val="Page Numbers (Bottom of Page)"/>
        <w:docPartUnique/>
      </w:docPartObj>
    </w:sdtPr>
    <w:sdtContent>
      <w:p w:rsidR="002946DE" w:rsidRDefault="002946DE" w:rsidP="002946DE">
        <w:pPr>
          <w:pStyle w:val="Stopka"/>
          <w:ind w:right="360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04CBF69C" wp14:editId="1FC0608B">
              <wp:simplePos x="0" y="0"/>
              <wp:positionH relativeFrom="column">
                <wp:posOffset>4495800</wp:posOffset>
              </wp:positionH>
              <wp:positionV relativeFrom="paragraph">
                <wp:posOffset>-43815</wp:posOffset>
              </wp:positionV>
              <wp:extent cx="901700" cy="38989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logo-gw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700" cy="389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2946DE" w:rsidRPr="000A50B4" w:rsidRDefault="002946DE" w:rsidP="002946DE">
        <w:pPr>
          <w:pStyle w:val="Stopka"/>
          <w:ind w:right="360"/>
          <w:jc w:val="center"/>
          <w:rPr>
            <w:color w:val="7F7F7F" w:themeColor="text1" w:themeTint="80"/>
          </w:rPr>
        </w:pPr>
        <w:r w:rsidRPr="006633F5">
          <w:rPr>
            <w:color w:val="7F7F7F" w:themeColor="text1" w:themeTint="80"/>
            <w:sz w:val="16"/>
            <w:szCs w:val="16"/>
          </w:rPr>
          <w:t>Materiały do serii „Podróże w czasie” pobrane ze strony www.gwo.pl</w:t>
        </w:r>
        <w:r>
          <w:rPr>
            <w:color w:val="7F7F7F" w:themeColor="text1" w:themeTint="80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DE" w:rsidRDefault="002946DE" w:rsidP="002946DE">
      <w:pPr>
        <w:spacing w:after="0" w:line="240" w:lineRule="auto"/>
      </w:pPr>
      <w:r>
        <w:separator/>
      </w:r>
    </w:p>
  </w:footnote>
  <w:footnote w:type="continuationSeparator" w:id="0">
    <w:p w:rsidR="002946DE" w:rsidRDefault="002946DE" w:rsidP="002946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72"/>
    <w:rsid w:val="00004653"/>
    <w:rsid w:val="0007721A"/>
    <w:rsid w:val="00192023"/>
    <w:rsid w:val="001F63BD"/>
    <w:rsid w:val="002946DE"/>
    <w:rsid w:val="0029637E"/>
    <w:rsid w:val="003F1D7E"/>
    <w:rsid w:val="00492C77"/>
    <w:rsid w:val="004D3809"/>
    <w:rsid w:val="00876D60"/>
    <w:rsid w:val="009252F5"/>
    <w:rsid w:val="0093632F"/>
    <w:rsid w:val="00972F66"/>
    <w:rsid w:val="009C5929"/>
    <w:rsid w:val="009D0B69"/>
    <w:rsid w:val="00B7329F"/>
    <w:rsid w:val="00BC0B72"/>
    <w:rsid w:val="00BE73CA"/>
    <w:rsid w:val="00C45655"/>
    <w:rsid w:val="00C47C44"/>
    <w:rsid w:val="00C95495"/>
    <w:rsid w:val="00D85CE9"/>
    <w:rsid w:val="00F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FE1AE9-22BC-47C9-A4C7-40EFE03D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0B7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0B72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BC0B72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nhideWhenUsed/>
    <w:rsid w:val="00294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46DE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94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6DE"/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946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6</vt:lpstr>
    </vt:vector>
  </TitlesOfParts>
  <Company>GWO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6</dc:title>
  <dc:subject/>
  <dc:creator>renatak</dc:creator>
  <cp:keywords/>
  <dc:description/>
  <cp:lastModifiedBy>Aleksandra Grygo</cp:lastModifiedBy>
  <cp:revision>11</cp:revision>
  <dcterms:created xsi:type="dcterms:W3CDTF">2020-03-19T14:45:00Z</dcterms:created>
  <dcterms:modified xsi:type="dcterms:W3CDTF">2024-11-07T14:12:00Z</dcterms:modified>
</cp:coreProperties>
</file>